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BF613" w14:textId="77777777" w:rsidR="00F21189" w:rsidRDefault="00F21189" w:rsidP="00F21189">
      <w:pPr>
        <w:spacing w:before="0" w:line="240" w:lineRule="auto"/>
        <w:outlineLvl w:val="0"/>
        <w:rPr>
          <w:rFonts w:ascii="Arial" w:hAnsi="Arial"/>
          <w:b/>
          <w:color w:val="000000" w:themeColor="text1"/>
          <w:sz w:val="44"/>
          <w:szCs w:val="40"/>
          <w:lang w:val="nl-NL"/>
        </w:rPr>
      </w:pPr>
      <w:r w:rsidRPr="00632CDE">
        <w:rPr>
          <w:rFonts w:ascii="Arial" w:hAnsi="Arial"/>
          <w:b/>
          <w:color w:val="000000" w:themeColor="text1"/>
          <w:sz w:val="44"/>
          <w:szCs w:val="40"/>
          <w:lang w:val="nl-NL"/>
        </w:rPr>
        <w:t>Verwerkersovereenkomst</w:t>
      </w:r>
      <w:r>
        <w:rPr>
          <w:rFonts w:ascii="Arial" w:hAnsi="Arial"/>
          <w:b/>
          <w:color w:val="000000" w:themeColor="text1"/>
          <w:sz w:val="44"/>
          <w:szCs w:val="40"/>
          <w:lang w:val="nl-NL"/>
        </w:rPr>
        <w:t xml:space="preserve"> </w:t>
      </w:r>
    </w:p>
    <w:p w14:paraId="30DC2652" w14:textId="77777777" w:rsidR="00F21189" w:rsidRDefault="00F21189" w:rsidP="00F21189">
      <w:pPr>
        <w:spacing w:before="0" w:line="240" w:lineRule="auto"/>
        <w:outlineLvl w:val="0"/>
        <w:rPr>
          <w:rFonts w:ascii="Arial" w:hAnsi="Arial"/>
          <w:b/>
          <w:color w:val="000000" w:themeColor="text1"/>
          <w:sz w:val="44"/>
          <w:szCs w:val="40"/>
          <w:lang w:val="nl-NL"/>
        </w:rPr>
      </w:pPr>
      <w:r>
        <w:rPr>
          <w:rFonts w:ascii="Arial" w:hAnsi="Arial"/>
          <w:b/>
          <w:color w:val="000000" w:themeColor="text1"/>
          <w:sz w:val="44"/>
          <w:szCs w:val="40"/>
          <w:lang w:val="nl-NL"/>
        </w:rPr>
        <w:t>Boom testcentrum</w:t>
      </w:r>
    </w:p>
    <w:p w14:paraId="08B6F574" w14:textId="77777777" w:rsidR="00F21189" w:rsidRPr="00632CDE" w:rsidRDefault="00F21189" w:rsidP="00F21189">
      <w:pPr>
        <w:spacing w:before="0" w:line="240" w:lineRule="auto"/>
        <w:outlineLvl w:val="0"/>
        <w:rPr>
          <w:rFonts w:ascii="Arial" w:hAnsi="Arial"/>
          <w:b/>
          <w:color w:val="000000" w:themeColor="text1"/>
          <w:sz w:val="44"/>
          <w:szCs w:val="40"/>
          <w:lang w:val="nl-NL"/>
        </w:rPr>
      </w:pPr>
    </w:p>
    <w:p w14:paraId="6DF31890" w14:textId="77777777" w:rsidR="00F21189" w:rsidRPr="00632CDE" w:rsidRDefault="00F21189" w:rsidP="00F21189">
      <w:pPr>
        <w:spacing w:before="0"/>
        <w:ind w:right="-144"/>
        <w:rPr>
          <w:rFonts w:ascii="Arial" w:hAnsi="Arial" w:cs="Arial"/>
          <w:color w:val="000000" w:themeColor="text1"/>
          <w:lang w:val="nl-NL"/>
        </w:rPr>
      </w:pPr>
    </w:p>
    <w:p w14:paraId="220239B6" w14:textId="77777777" w:rsidR="00F21189" w:rsidRPr="00632CDE" w:rsidRDefault="00F21189" w:rsidP="00F21189">
      <w:pPr>
        <w:spacing w:before="0"/>
        <w:ind w:right="-144"/>
        <w:outlineLvl w:val="0"/>
        <w:rPr>
          <w:rFonts w:ascii="Arial" w:hAnsi="Arial" w:cs="Arial"/>
          <w:color w:val="000000" w:themeColor="text1"/>
          <w:sz w:val="22"/>
          <w:szCs w:val="22"/>
          <w:lang w:val="nl-NL"/>
        </w:rPr>
      </w:pPr>
    </w:p>
    <w:p w14:paraId="4A6CB616" w14:textId="77777777" w:rsidR="00F21189" w:rsidRPr="00FC56E6" w:rsidRDefault="00F21189" w:rsidP="00F21189">
      <w:pPr>
        <w:spacing w:beforeLines="40" w:before="96" w:afterLines="20" w:after="48"/>
        <w:ind w:right="-144"/>
        <w:contextualSpacing/>
        <w:outlineLvl w:val="0"/>
        <w:rPr>
          <w:rFonts w:ascii="Open Sans" w:hAnsi="Open Sans" w:cs="Open Sans"/>
          <w:b/>
          <w:color w:val="000000" w:themeColor="text1"/>
          <w:szCs w:val="18"/>
          <w:u w:val="single"/>
          <w:lang w:val="nl-NL"/>
        </w:rPr>
      </w:pPr>
      <w:r w:rsidRPr="00FC56E6">
        <w:rPr>
          <w:rFonts w:ascii="Open Sans" w:hAnsi="Open Sans" w:cs="Open Sans"/>
          <w:b/>
          <w:color w:val="000000" w:themeColor="text1"/>
          <w:szCs w:val="18"/>
          <w:u w:val="single"/>
          <w:lang w:val="nl-NL"/>
        </w:rPr>
        <w:t xml:space="preserve">Partijen: </w:t>
      </w:r>
    </w:p>
    <w:p w14:paraId="479241F5" w14:textId="77777777" w:rsidR="00F21189" w:rsidRPr="00FC56E6" w:rsidRDefault="00F21189" w:rsidP="00F21189">
      <w:pPr>
        <w:pStyle w:val="ListParagraph"/>
        <w:numPr>
          <w:ilvl w:val="0"/>
          <w:numId w:val="28"/>
        </w:numPr>
        <w:spacing w:beforeLines="40" w:before="96" w:afterLines="20" w:after="48"/>
        <w:ind w:right="-144"/>
        <w:contextualSpacing/>
        <w:rPr>
          <w:rFonts w:ascii="Open Sans" w:hAnsi="Open Sans" w:cs="Open Sans"/>
          <w:color w:val="000000" w:themeColor="text1"/>
          <w:szCs w:val="18"/>
          <w:lang w:val="nl-NL"/>
        </w:rPr>
      </w:pPr>
      <w:r w:rsidRPr="00FC56E6">
        <w:rPr>
          <w:rFonts w:ascii="Open Sans" w:hAnsi="Open Sans" w:cs="Open Sans"/>
          <w:color w:val="000000" w:themeColor="text1"/>
          <w:szCs w:val="18"/>
          <w:lang w:val="nl-NL"/>
        </w:rPr>
        <w:t>…………., ingeschreven in het register van de Kamer van Koophandel onder nummer …………., gevestigd en kantoorhoudende aan …………, te (……) ………., te dezen rechtsgeldig vertegenwoordigd door bestuurder ………….., hierna te noemen: “</w:t>
      </w:r>
      <w:bookmarkStart w:id="0" w:name="_Hlk510787364"/>
      <w:r w:rsidRPr="00FC56E6">
        <w:rPr>
          <w:rFonts w:ascii="Open Sans" w:hAnsi="Open Sans" w:cs="Open Sans"/>
          <w:b/>
          <w:color w:val="000000" w:themeColor="text1"/>
          <w:szCs w:val="18"/>
          <w:lang w:val="nl-NL"/>
        </w:rPr>
        <w:t>Verantwoordelijke</w:t>
      </w:r>
      <w:bookmarkEnd w:id="0"/>
      <w:r w:rsidRPr="00FC56E6">
        <w:rPr>
          <w:rFonts w:ascii="Open Sans" w:hAnsi="Open Sans" w:cs="Open Sans"/>
          <w:color w:val="000000" w:themeColor="text1"/>
          <w:szCs w:val="18"/>
          <w:lang w:val="nl-NL"/>
        </w:rPr>
        <w:t xml:space="preserve">”. </w:t>
      </w:r>
    </w:p>
    <w:p w14:paraId="50F93748" w14:textId="77777777" w:rsidR="00F21189" w:rsidRPr="00FC56E6" w:rsidRDefault="00F21189" w:rsidP="00F21189">
      <w:pPr>
        <w:spacing w:beforeLines="40" w:before="96" w:afterLines="20" w:after="48" w:line="240" w:lineRule="auto"/>
        <w:ind w:right="-144"/>
        <w:contextualSpacing/>
        <w:rPr>
          <w:rFonts w:ascii="Open Sans" w:hAnsi="Open Sans" w:cs="Open Sans"/>
          <w:color w:val="000000" w:themeColor="text1"/>
          <w:szCs w:val="18"/>
          <w:lang w:val="nl-NL"/>
        </w:rPr>
      </w:pPr>
      <w:r w:rsidRPr="00FC56E6">
        <w:rPr>
          <w:rFonts w:ascii="Open Sans" w:hAnsi="Open Sans" w:cs="Open Sans"/>
          <w:color w:val="000000" w:themeColor="text1"/>
          <w:szCs w:val="18"/>
          <w:lang w:val="nl-NL"/>
        </w:rPr>
        <w:t>en</w:t>
      </w:r>
    </w:p>
    <w:p w14:paraId="03CAB8D9" w14:textId="77777777" w:rsidR="00F21189" w:rsidRPr="00FC56E6" w:rsidRDefault="00F21189" w:rsidP="00F21189">
      <w:pPr>
        <w:pStyle w:val="ListParagraph"/>
        <w:numPr>
          <w:ilvl w:val="0"/>
          <w:numId w:val="28"/>
        </w:numPr>
        <w:spacing w:beforeLines="40" w:before="96" w:afterLines="20" w:after="48"/>
        <w:ind w:right="-144"/>
        <w:contextualSpacing/>
        <w:rPr>
          <w:rFonts w:ascii="Open Sans" w:hAnsi="Open Sans" w:cs="Open Sans"/>
          <w:color w:val="000000" w:themeColor="text1"/>
          <w:szCs w:val="18"/>
          <w:lang w:val="nl-NL"/>
        </w:rPr>
      </w:pPr>
      <w:r w:rsidRPr="00FC56E6">
        <w:rPr>
          <w:rFonts w:ascii="Open Sans" w:hAnsi="Open Sans" w:cs="Open Sans"/>
          <w:color w:val="000000" w:themeColor="text1"/>
          <w:szCs w:val="18"/>
          <w:lang w:val="nl-NL"/>
        </w:rPr>
        <w:t xml:space="preserve">De besloten vennootschap Boom uitgevers Amsterdam B.V., gevestigd en kantoorhoudende aan Prinsengracht 747-751, te (1017 JX) Amsterdam, te dezen rechtsgeldig vertegenwoordigd door directeur </w:t>
      </w:r>
      <w:bookmarkStart w:id="1" w:name="_Hlk509832142"/>
      <w:r w:rsidRPr="00FC56E6">
        <w:rPr>
          <w:rFonts w:ascii="Open Sans" w:hAnsi="Open Sans" w:cs="Open Sans"/>
          <w:color w:val="000000" w:themeColor="text1"/>
          <w:szCs w:val="18"/>
          <w:lang w:val="nl-NL"/>
        </w:rPr>
        <w:t>A.M.W. Holl</w:t>
      </w:r>
      <w:bookmarkEnd w:id="1"/>
      <w:r w:rsidRPr="00FC56E6">
        <w:rPr>
          <w:rFonts w:ascii="Open Sans" w:hAnsi="Open Sans" w:cs="Open Sans"/>
          <w:color w:val="000000" w:themeColor="text1"/>
          <w:szCs w:val="18"/>
          <w:lang w:val="nl-NL"/>
        </w:rPr>
        <w:t>, hierna te noemen: “</w:t>
      </w:r>
      <w:r w:rsidRPr="00FC56E6">
        <w:rPr>
          <w:rFonts w:ascii="Open Sans" w:hAnsi="Open Sans" w:cs="Open Sans"/>
          <w:b/>
          <w:color w:val="000000" w:themeColor="text1"/>
          <w:szCs w:val="18"/>
          <w:lang w:val="nl-NL"/>
        </w:rPr>
        <w:t>Verwerker</w:t>
      </w:r>
      <w:r w:rsidRPr="00FC56E6">
        <w:rPr>
          <w:rFonts w:ascii="Open Sans" w:hAnsi="Open Sans" w:cs="Open Sans"/>
          <w:color w:val="000000" w:themeColor="text1"/>
          <w:szCs w:val="18"/>
          <w:lang w:val="nl-NL"/>
        </w:rPr>
        <w:t xml:space="preserve">” </w:t>
      </w:r>
    </w:p>
    <w:p w14:paraId="132221B2" w14:textId="77777777" w:rsidR="00F21189" w:rsidRPr="00FC56E6" w:rsidRDefault="00F21189" w:rsidP="00F21189">
      <w:pPr>
        <w:spacing w:beforeLines="40" w:before="96" w:afterLines="20" w:after="48" w:line="240" w:lineRule="auto"/>
        <w:ind w:right="-144"/>
        <w:contextualSpacing/>
        <w:rPr>
          <w:rFonts w:ascii="Open Sans" w:hAnsi="Open Sans" w:cs="Open Sans"/>
          <w:color w:val="000000" w:themeColor="text1"/>
          <w:szCs w:val="18"/>
          <w:lang w:val="nl-NL"/>
        </w:rPr>
      </w:pPr>
    </w:p>
    <w:p w14:paraId="1F735A5F" w14:textId="77777777" w:rsidR="00F21189" w:rsidRPr="00FC56E6" w:rsidRDefault="00F21189" w:rsidP="00F21189">
      <w:pPr>
        <w:spacing w:beforeLines="40" w:before="96" w:afterLines="20" w:after="48" w:line="240" w:lineRule="auto"/>
        <w:ind w:right="-144"/>
        <w:contextualSpacing/>
        <w:rPr>
          <w:rFonts w:ascii="Open Sans" w:hAnsi="Open Sans" w:cs="Open Sans"/>
          <w:b/>
          <w:color w:val="000000" w:themeColor="text1"/>
          <w:szCs w:val="18"/>
          <w:lang w:val="nl-NL"/>
        </w:rPr>
      </w:pPr>
      <w:r w:rsidRPr="00FC56E6">
        <w:rPr>
          <w:rFonts w:ascii="Open Sans" w:hAnsi="Open Sans" w:cs="Open Sans"/>
          <w:color w:val="000000" w:themeColor="text1"/>
          <w:szCs w:val="18"/>
          <w:lang w:val="nl-NL"/>
        </w:rPr>
        <w:t>hierna gezamenlijk te noemen: “</w:t>
      </w:r>
      <w:r w:rsidRPr="00FC56E6">
        <w:rPr>
          <w:rFonts w:ascii="Open Sans" w:hAnsi="Open Sans" w:cs="Open Sans"/>
          <w:b/>
          <w:color w:val="000000" w:themeColor="text1"/>
          <w:szCs w:val="18"/>
          <w:lang w:val="nl-NL"/>
        </w:rPr>
        <w:t>Partijen</w:t>
      </w:r>
      <w:r w:rsidRPr="00FC56E6">
        <w:rPr>
          <w:rFonts w:ascii="Open Sans" w:hAnsi="Open Sans" w:cs="Open Sans"/>
          <w:color w:val="000000" w:themeColor="text1"/>
          <w:szCs w:val="18"/>
          <w:lang w:val="nl-NL"/>
        </w:rPr>
        <w:t>”, of afzonderlijk: “</w:t>
      </w:r>
      <w:r w:rsidRPr="00FC56E6">
        <w:rPr>
          <w:rFonts w:ascii="Open Sans" w:hAnsi="Open Sans" w:cs="Open Sans"/>
          <w:b/>
          <w:color w:val="000000" w:themeColor="text1"/>
          <w:szCs w:val="18"/>
          <w:lang w:val="nl-NL"/>
        </w:rPr>
        <w:t>Partij</w:t>
      </w:r>
      <w:r w:rsidRPr="00FC56E6">
        <w:rPr>
          <w:rFonts w:ascii="Open Sans" w:hAnsi="Open Sans" w:cs="Open Sans"/>
          <w:color w:val="000000" w:themeColor="text1"/>
          <w:szCs w:val="18"/>
          <w:lang w:val="nl-NL"/>
        </w:rPr>
        <w:t>”</w:t>
      </w:r>
    </w:p>
    <w:p w14:paraId="275EA489" w14:textId="77777777" w:rsidR="00F21189" w:rsidRPr="00FC56E6" w:rsidRDefault="00F21189" w:rsidP="00F21189">
      <w:pPr>
        <w:spacing w:beforeLines="40" w:before="96" w:afterLines="20" w:after="48" w:line="240" w:lineRule="auto"/>
        <w:ind w:right="-144"/>
        <w:contextualSpacing/>
        <w:rPr>
          <w:rFonts w:ascii="Open Sans" w:hAnsi="Open Sans" w:cs="Open Sans"/>
          <w:b/>
          <w:color w:val="403000" w:themeColor="accent4" w:themeShade="40"/>
          <w:szCs w:val="18"/>
          <w:u w:val="single"/>
          <w:lang w:val="nl-NL"/>
        </w:rPr>
      </w:pPr>
    </w:p>
    <w:p w14:paraId="74DAF42F" w14:textId="77777777" w:rsidR="00F21189" w:rsidRPr="00FC56E6" w:rsidRDefault="00F21189" w:rsidP="00F21189">
      <w:pPr>
        <w:spacing w:beforeLines="40" w:before="96" w:afterLines="20" w:after="48" w:line="240" w:lineRule="auto"/>
        <w:ind w:right="-144"/>
        <w:contextualSpacing/>
        <w:outlineLvl w:val="0"/>
        <w:rPr>
          <w:rFonts w:ascii="Open Sans" w:hAnsi="Open Sans" w:cs="Open Sans"/>
          <w:b/>
          <w:color w:val="403000" w:themeColor="accent4" w:themeShade="40"/>
          <w:szCs w:val="18"/>
          <w:u w:val="single"/>
          <w:lang w:val="nl-NL"/>
        </w:rPr>
      </w:pPr>
      <w:r w:rsidRPr="00FC56E6">
        <w:rPr>
          <w:rFonts w:ascii="Open Sans" w:hAnsi="Open Sans" w:cs="Open Sans"/>
          <w:b/>
          <w:color w:val="403000" w:themeColor="accent4" w:themeShade="40"/>
          <w:szCs w:val="18"/>
          <w:u w:val="single"/>
          <w:lang w:val="nl-NL"/>
        </w:rPr>
        <w:t xml:space="preserve">Overwegen het volgende: </w:t>
      </w:r>
    </w:p>
    <w:p w14:paraId="0ED695CE" w14:textId="77777777" w:rsidR="00F21189" w:rsidRPr="00FC56E6" w:rsidRDefault="00F21189" w:rsidP="00F21189">
      <w:pPr>
        <w:spacing w:beforeLines="40" w:before="96" w:afterLines="20" w:after="48" w:line="240" w:lineRule="auto"/>
        <w:ind w:right="-144"/>
        <w:contextualSpacing/>
        <w:rPr>
          <w:rFonts w:ascii="Open Sans" w:hAnsi="Open Sans" w:cs="Open Sans"/>
          <w:color w:val="403000" w:themeColor="accent4" w:themeShade="40"/>
          <w:szCs w:val="18"/>
          <w:lang w:val="nl-NL"/>
        </w:rPr>
      </w:pPr>
    </w:p>
    <w:p w14:paraId="593DB482" w14:textId="77777777" w:rsidR="00F21189" w:rsidRPr="00FC56E6" w:rsidRDefault="00F21189" w:rsidP="00F21189">
      <w:pPr>
        <w:pStyle w:val="ListParagraph"/>
        <w:numPr>
          <w:ilvl w:val="0"/>
          <w:numId w:val="29"/>
        </w:numPr>
        <w:spacing w:beforeLines="40" w:before="96" w:afterLines="20" w:after="48"/>
        <w:ind w:left="714" w:right="-142" w:hanging="357"/>
        <w:contextualSpacing/>
        <w:rPr>
          <w:rFonts w:ascii="Open Sans" w:hAnsi="Open Sans" w:cs="Open Sans"/>
          <w:color w:val="403000" w:themeColor="accent4" w:themeShade="40"/>
          <w:szCs w:val="18"/>
          <w:lang w:val="nl-NL"/>
        </w:rPr>
      </w:pPr>
      <w:r w:rsidRPr="00FC56E6">
        <w:rPr>
          <w:rFonts w:ascii="Open Sans" w:hAnsi="Open Sans" w:cs="Open Sans"/>
          <w:color w:val="403000" w:themeColor="accent4" w:themeShade="40"/>
          <w:szCs w:val="18"/>
          <w:lang w:val="nl-NL"/>
        </w:rPr>
        <w:t xml:space="preserve">Verantwoordelijke en Verwerker zijn een overeenkomst aangegaan waarbij </w:t>
      </w:r>
      <w:r w:rsidRPr="00FC56E6">
        <w:rPr>
          <w:rFonts w:ascii="Open Sans" w:hAnsi="Open Sans" w:cs="Open Sans"/>
          <w:b/>
          <w:color w:val="403000" w:themeColor="accent4" w:themeShade="40"/>
          <w:szCs w:val="18"/>
          <w:lang w:val="nl-NL"/>
        </w:rPr>
        <w:t xml:space="preserve">Verantwoordelijke gebruik maakt van </w:t>
      </w:r>
      <w:hyperlink r:id="rId13" w:history="1">
        <w:r w:rsidRPr="00FC56E6">
          <w:rPr>
            <w:rStyle w:val="Hyperlink"/>
            <w:rFonts w:ascii="Open Sans" w:hAnsi="Open Sans" w:cs="Open Sans"/>
            <w:b/>
            <w:szCs w:val="18"/>
            <w:lang w:val="nl-NL"/>
          </w:rPr>
          <w:t>www.boomtestcentrum.nl</w:t>
        </w:r>
      </w:hyperlink>
      <w:r w:rsidRPr="00FC56E6">
        <w:rPr>
          <w:rFonts w:ascii="Open Sans" w:hAnsi="Open Sans" w:cs="Open Sans"/>
          <w:b/>
          <w:color w:val="403000" w:themeColor="accent4" w:themeShade="40"/>
          <w:szCs w:val="18"/>
          <w:lang w:val="nl-NL"/>
        </w:rPr>
        <w:t xml:space="preserve"> om bij zijn/haar cliënten tests, toetsen en vragenlijsten (te laten) af (te) nemen, (te) scoren, (te) normeren en (te) rapporteren op individueel niveau en groepsniveau. </w:t>
      </w:r>
      <w:r w:rsidRPr="00FC56E6">
        <w:rPr>
          <w:rFonts w:ascii="Open Sans" w:hAnsi="Open Sans" w:cs="Open Sans"/>
          <w:color w:val="403000" w:themeColor="accent4" w:themeShade="40"/>
          <w:szCs w:val="18"/>
          <w:lang w:val="nl-NL"/>
        </w:rPr>
        <w:t xml:space="preserve">Die hoofdovereenkomst wordt ‘de Dienstenovereenkomst’ genoemd en komt tot stand door aanbod en aanvaarding op </w:t>
      </w:r>
      <w:hyperlink r:id="rId14" w:history="1">
        <w:r w:rsidRPr="00FC56E6">
          <w:rPr>
            <w:rStyle w:val="Hyperlink"/>
            <w:rFonts w:ascii="Open Sans" w:hAnsi="Open Sans" w:cs="Open Sans"/>
            <w:szCs w:val="18"/>
            <w:lang w:val="nl-NL"/>
          </w:rPr>
          <w:t>www.boomtestcentrum.nl</w:t>
        </w:r>
      </w:hyperlink>
      <w:r w:rsidRPr="00FC56E6">
        <w:rPr>
          <w:rFonts w:ascii="Open Sans" w:hAnsi="Open Sans" w:cs="Open Sans"/>
          <w:color w:val="403000" w:themeColor="accent4" w:themeShade="40"/>
          <w:szCs w:val="18"/>
          <w:lang w:val="nl-NL"/>
        </w:rPr>
        <w:t xml:space="preserve">, waarbij de algemene voorwaarden van Verwerker van toepassing worden verklaard. De Dienstenovereenkomst leidt ertoe dat Verwerker in opdracht van Verantwoordelijke Persoonsgegevens verwerkt. </w:t>
      </w:r>
    </w:p>
    <w:p w14:paraId="2F42D3AB" w14:textId="77777777" w:rsidR="00F21189" w:rsidRPr="00894BF8" w:rsidRDefault="00F21189" w:rsidP="00F21189">
      <w:pPr>
        <w:pStyle w:val="ListParagraph"/>
        <w:numPr>
          <w:ilvl w:val="0"/>
          <w:numId w:val="29"/>
        </w:numPr>
        <w:spacing w:beforeLines="40" w:before="96" w:afterLines="20" w:after="48"/>
        <w:ind w:left="714" w:right="-142" w:hanging="357"/>
        <w:contextualSpacing/>
        <w:rPr>
          <w:rFonts w:ascii="Open Sans" w:hAnsi="Open Sans" w:cs="Open Sans"/>
          <w:color w:val="403000" w:themeColor="accent4" w:themeShade="40"/>
          <w:szCs w:val="18"/>
          <w:lang w:val="nl-NL"/>
        </w:rPr>
      </w:pPr>
      <w:r w:rsidRPr="00FC56E6">
        <w:rPr>
          <w:rFonts w:ascii="Open Sans" w:hAnsi="Open Sans" w:cs="Open Sans"/>
          <w:color w:val="403000" w:themeColor="accent4" w:themeShade="40"/>
          <w:szCs w:val="18"/>
          <w:lang w:val="nl-NL"/>
        </w:rPr>
        <w:t>Partijen wensen, mede gelet op het bepaalde in artikel 28 lid 3 Algemene Verordening Gegevensbescherming, in deze Verwerkersovereenkomst hun wederzijdse rechten en verplichtingen voor de Verwerking van Persoonsgegevens</w:t>
      </w:r>
      <w:r w:rsidRPr="00894BF8">
        <w:rPr>
          <w:rFonts w:ascii="Open Sans" w:hAnsi="Open Sans" w:cs="Open Sans"/>
          <w:color w:val="403000" w:themeColor="accent4" w:themeShade="40"/>
          <w:szCs w:val="18"/>
          <w:lang w:val="nl-NL"/>
        </w:rPr>
        <w:t xml:space="preserve"> vast te leggen.</w:t>
      </w:r>
    </w:p>
    <w:p w14:paraId="31BF04F0" w14:textId="77777777" w:rsidR="00F21189" w:rsidRPr="00894BF8" w:rsidRDefault="00F21189" w:rsidP="00F21189">
      <w:pPr>
        <w:pStyle w:val="ListParagraph"/>
        <w:spacing w:beforeLines="40" w:before="96" w:afterLines="20" w:after="48"/>
        <w:ind w:left="720" w:right="-144"/>
        <w:contextualSpacing/>
        <w:rPr>
          <w:rFonts w:ascii="Open Sans" w:hAnsi="Open Sans" w:cs="Open Sans"/>
          <w:color w:val="403000" w:themeColor="accent4" w:themeShade="40"/>
          <w:szCs w:val="18"/>
          <w:lang w:val="nl-NL"/>
        </w:rPr>
      </w:pPr>
    </w:p>
    <w:p w14:paraId="082D3F69" w14:textId="77777777" w:rsidR="00F21189" w:rsidRPr="00894BF8" w:rsidRDefault="00F21189" w:rsidP="00F21189">
      <w:pPr>
        <w:spacing w:beforeLines="40" w:before="96" w:afterLines="20" w:after="48" w:line="240" w:lineRule="auto"/>
        <w:ind w:right="-144"/>
        <w:contextualSpacing/>
        <w:outlineLvl w:val="0"/>
        <w:rPr>
          <w:rFonts w:ascii="Open Sans" w:hAnsi="Open Sans" w:cs="Open Sans"/>
          <w:b/>
          <w:color w:val="403000" w:themeColor="accent4" w:themeShade="40"/>
          <w:szCs w:val="18"/>
          <w:u w:val="single"/>
          <w:lang w:val="nl-NL"/>
        </w:rPr>
      </w:pPr>
      <w:r w:rsidRPr="00894BF8">
        <w:rPr>
          <w:rFonts w:ascii="Open Sans" w:hAnsi="Open Sans" w:cs="Open Sans"/>
          <w:b/>
          <w:color w:val="403000" w:themeColor="accent4" w:themeShade="40"/>
          <w:szCs w:val="18"/>
          <w:u w:val="single"/>
          <w:lang w:val="nl-NL"/>
        </w:rPr>
        <w:t xml:space="preserve">Komen het volgende overeen: </w:t>
      </w:r>
    </w:p>
    <w:p w14:paraId="4AE658EA" w14:textId="77777777" w:rsidR="00F21189" w:rsidRPr="00894BF8" w:rsidRDefault="00F21189" w:rsidP="00F21189">
      <w:pPr>
        <w:pStyle w:val="ListParagraph"/>
        <w:spacing w:beforeLines="40" w:before="96" w:afterLines="20" w:after="48"/>
        <w:ind w:left="720" w:right="-144"/>
        <w:rPr>
          <w:rFonts w:ascii="Open Sans" w:hAnsi="Open Sans" w:cs="Open Sans"/>
          <w:color w:val="403000" w:themeColor="accent4" w:themeShade="40"/>
          <w:szCs w:val="18"/>
          <w:lang w:val="nl-NL"/>
        </w:rPr>
      </w:pPr>
    </w:p>
    <w:p w14:paraId="01EDE493" w14:textId="77777777" w:rsidR="00F21189" w:rsidRPr="00894BF8" w:rsidRDefault="00F21189" w:rsidP="00F21189">
      <w:pPr>
        <w:spacing w:beforeLines="40" w:before="96" w:afterLines="20" w:after="48" w:line="240" w:lineRule="auto"/>
        <w:ind w:right="-144"/>
        <w:outlineLvl w:val="0"/>
        <w:rPr>
          <w:rFonts w:ascii="Open Sans" w:hAnsi="Open Sans" w:cs="Open Sans"/>
          <w:b/>
          <w:color w:val="403000" w:themeColor="accent4" w:themeShade="40"/>
          <w:szCs w:val="18"/>
          <w:lang w:val="nl-NL"/>
        </w:rPr>
      </w:pPr>
      <w:r w:rsidRPr="00894BF8">
        <w:rPr>
          <w:rFonts w:ascii="Open Sans" w:hAnsi="Open Sans" w:cs="Open Sans"/>
          <w:b/>
          <w:color w:val="403000" w:themeColor="accent4" w:themeShade="40"/>
          <w:szCs w:val="18"/>
          <w:lang w:val="nl-NL"/>
        </w:rPr>
        <w:t>Artikel 1: Definities</w:t>
      </w:r>
    </w:p>
    <w:p w14:paraId="1E668D88" w14:textId="77777777" w:rsidR="00F21189" w:rsidRPr="00894BF8" w:rsidRDefault="00F21189" w:rsidP="00F21189">
      <w:pPr>
        <w:spacing w:beforeLines="40" w:before="96" w:afterLines="20" w:after="48" w:line="240" w:lineRule="auto"/>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In deze Verwerkersovereenkomst wordt verstaan onder:</w:t>
      </w:r>
    </w:p>
    <w:p w14:paraId="5F5061BD" w14:textId="77777777" w:rsidR="00F21189" w:rsidRPr="00894BF8" w:rsidRDefault="00F21189" w:rsidP="00F21189">
      <w:pPr>
        <w:pStyle w:val="ListParagraph"/>
        <w:numPr>
          <w:ilvl w:val="0"/>
          <w:numId w:val="4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Betrokkene, Verwerker, Derde, Persoonsgegevens, Verwerking van Persoonsgegevens en </w:t>
      </w:r>
      <w:r>
        <w:rPr>
          <w:rFonts w:ascii="Open Sans" w:hAnsi="Open Sans" w:cs="Open Sans"/>
          <w:color w:val="403000" w:themeColor="accent4" w:themeShade="40"/>
          <w:szCs w:val="18"/>
          <w:lang w:val="nl-NL"/>
        </w:rPr>
        <w:t>Verwerkingsv</w:t>
      </w:r>
      <w:r w:rsidRPr="00894BF8">
        <w:rPr>
          <w:rFonts w:ascii="Open Sans" w:hAnsi="Open Sans" w:cs="Open Sans"/>
          <w:color w:val="403000" w:themeColor="accent4" w:themeShade="40"/>
          <w:szCs w:val="18"/>
          <w:lang w:val="nl-NL"/>
        </w:rPr>
        <w:t>erantwoordelijke: de begrippen zoals gedefinieerd in de AVG;</w:t>
      </w:r>
    </w:p>
    <w:p w14:paraId="29C27D82" w14:textId="77777777" w:rsidR="00F21189" w:rsidRPr="00894BF8" w:rsidRDefault="00F21189" w:rsidP="00F21189">
      <w:pPr>
        <w:pStyle w:val="ListParagraph"/>
        <w:numPr>
          <w:ilvl w:val="0"/>
          <w:numId w:val="4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Bijlage(n): bijlage(n) bij de Verwerkersovereenkomst;</w:t>
      </w:r>
    </w:p>
    <w:p w14:paraId="2555A2A5" w14:textId="77777777" w:rsidR="00F21189" w:rsidRPr="00894BF8" w:rsidRDefault="00F21189" w:rsidP="00F21189">
      <w:pPr>
        <w:pStyle w:val="ListParagraph"/>
        <w:numPr>
          <w:ilvl w:val="0"/>
          <w:numId w:val="4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Datalek: een inbreuk in verband met persoonsgegevens, zoals bedoeld in artikel 4 sub 12 AVG; </w:t>
      </w:r>
    </w:p>
    <w:p w14:paraId="614D532E" w14:textId="77777777" w:rsidR="00F21189" w:rsidRPr="00894BF8" w:rsidRDefault="00F21189" w:rsidP="00F21189">
      <w:pPr>
        <w:pStyle w:val="ListParagraph"/>
        <w:numPr>
          <w:ilvl w:val="0"/>
          <w:numId w:val="4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Instructies: geschreven of elektronisch gestuurde aanwijzing van de Verwerkingsverantwoordelijke aan de Verwerker in het kader van haar bevoegdheden zoals geformuleerd in deze Verwerkersovereenkomst of in de Dienstenovereenkomst. Instructies worden verstrekt door en aan de contactpersonen van partijen zoals die zijn opgenomen in de Bijlage(n); </w:t>
      </w:r>
    </w:p>
    <w:p w14:paraId="6E7CF13C" w14:textId="77777777" w:rsidR="00F21189" w:rsidRPr="00894BF8" w:rsidRDefault="00F21189" w:rsidP="00F21189">
      <w:pPr>
        <w:pStyle w:val="ListParagraph"/>
        <w:numPr>
          <w:ilvl w:val="0"/>
          <w:numId w:val="4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lastRenderedPageBreak/>
        <w:t>Te</w:t>
      </w:r>
      <w:r>
        <w:rPr>
          <w:rFonts w:ascii="Open Sans" w:hAnsi="Open Sans" w:cs="Open Sans"/>
          <w:color w:val="403000" w:themeColor="accent4" w:themeShade="40"/>
          <w:szCs w:val="18"/>
          <w:lang w:val="nl-NL"/>
        </w:rPr>
        <w:t>s</w:t>
      </w:r>
      <w:r w:rsidRPr="00894BF8">
        <w:rPr>
          <w:rFonts w:ascii="Open Sans" w:hAnsi="Open Sans" w:cs="Open Sans"/>
          <w:color w:val="403000" w:themeColor="accent4" w:themeShade="40"/>
          <w:szCs w:val="18"/>
          <w:lang w:val="nl-NL"/>
        </w:rPr>
        <w:t xml:space="preserve">ten: digitale dienst bestaande uit </w:t>
      </w:r>
      <w:r>
        <w:rPr>
          <w:rFonts w:ascii="Open Sans" w:hAnsi="Open Sans" w:cs="Open Sans"/>
          <w:color w:val="403000" w:themeColor="accent4" w:themeShade="40"/>
          <w:szCs w:val="18"/>
          <w:lang w:val="nl-NL"/>
        </w:rPr>
        <w:t xml:space="preserve">test(en) </w:t>
      </w:r>
      <w:r w:rsidRPr="00894BF8">
        <w:rPr>
          <w:rFonts w:ascii="Open Sans" w:hAnsi="Open Sans" w:cs="Open Sans"/>
          <w:color w:val="403000" w:themeColor="accent4" w:themeShade="40"/>
          <w:szCs w:val="18"/>
          <w:lang w:val="nl-NL"/>
        </w:rPr>
        <w:t xml:space="preserve"> en/of toetsen en</w:t>
      </w:r>
      <w:r>
        <w:rPr>
          <w:rFonts w:ascii="Open Sans" w:hAnsi="Open Sans" w:cs="Open Sans"/>
          <w:color w:val="403000" w:themeColor="accent4" w:themeShade="40"/>
          <w:szCs w:val="18"/>
          <w:lang w:val="nl-NL"/>
        </w:rPr>
        <w:t>/of vragenlijsten en andere</w:t>
      </w:r>
      <w:r w:rsidRPr="00894BF8">
        <w:rPr>
          <w:rFonts w:ascii="Open Sans" w:hAnsi="Open Sans" w:cs="Open Sans"/>
          <w:color w:val="403000" w:themeColor="accent4" w:themeShade="40"/>
          <w:szCs w:val="18"/>
          <w:lang w:val="nl-NL"/>
        </w:rPr>
        <w:t xml:space="preserve"> daarmee samenhangende digitale diensten, gericht op situaties, ten behoeve van het geven van </w:t>
      </w:r>
      <w:r>
        <w:rPr>
          <w:rFonts w:ascii="Open Sans" w:hAnsi="Open Sans" w:cs="Open Sans"/>
          <w:color w:val="403000" w:themeColor="accent4" w:themeShade="40"/>
          <w:szCs w:val="18"/>
          <w:lang w:val="nl-NL"/>
        </w:rPr>
        <w:t xml:space="preserve"> het geven van zorg</w:t>
      </w:r>
      <w:r w:rsidRPr="00894BF8">
        <w:rPr>
          <w:rFonts w:ascii="Open Sans" w:hAnsi="Open Sans" w:cs="Open Sans"/>
          <w:color w:val="403000" w:themeColor="accent4" w:themeShade="40"/>
          <w:szCs w:val="18"/>
          <w:lang w:val="nl-NL"/>
        </w:rPr>
        <w:t xml:space="preserve"> door of namens </w:t>
      </w:r>
      <w:r w:rsidRPr="004E2A6D">
        <w:rPr>
          <w:rFonts w:ascii="Open Sans" w:hAnsi="Open Sans" w:cs="Open Sans"/>
          <w:color w:val="403000" w:themeColor="accent4" w:themeShade="40"/>
          <w:szCs w:val="18"/>
          <w:lang w:val="nl-NL"/>
        </w:rPr>
        <w:t>Verantwoordelijk</w:t>
      </w:r>
      <w:r w:rsidRPr="00894BF8">
        <w:rPr>
          <w:rFonts w:ascii="Open Sans" w:hAnsi="Open Sans" w:cs="Open Sans"/>
          <w:color w:val="403000" w:themeColor="accent4" w:themeShade="40"/>
          <w:szCs w:val="18"/>
          <w:lang w:val="nl-NL"/>
        </w:rPr>
        <w:t xml:space="preserve">en; </w:t>
      </w:r>
    </w:p>
    <w:p w14:paraId="4A3F8FB8" w14:textId="77777777" w:rsidR="00F21189" w:rsidRPr="00894BF8" w:rsidRDefault="00F21189" w:rsidP="00F21189">
      <w:pPr>
        <w:pStyle w:val="ListParagraph"/>
        <w:numPr>
          <w:ilvl w:val="0"/>
          <w:numId w:val="4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Dienstenovereenkomst: de overeenkomst tussen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en Verwerker, zoals omschreven in overweging a;</w:t>
      </w:r>
    </w:p>
    <w:p w14:paraId="037968AE" w14:textId="77777777" w:rsidR="00F21189" w:rsidRPr="00894BF8" w:rsidRDefault="00F21189" w:rsidP="00F21189">
      <w:pPr>
        <w:pStyle w:val="ListParagraph"/>
        <w:numPr>
          <w:ilvl w:val="0"/>
          <w:numId w:val="4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Privacybijsluiter: één of meerdere privacybijsluiter(s) zoals opgenomen in de Bijlage(n) die van toepassing zijn op de aangeboden </w:t>
      </w:r>
      <w:r>
        <w:rPr>
          <w:rFonts w:ascii="Open Sans" w:hAnsi="Open Sans" w:cs="Open Sans"/>
          <w:color w:val="403000" w:themeColor="accent4" w:themeShade="40"/>
          <w:szCs w:val="18"/>
          <w:lang w:val="nl-NL"/>
        </w:rPr>
        <w:t>Testen</w:t>
      </w:r>
      <w:r w:rsidRPr="00894BF8">
        <w:rPr>
          <w:rFonts w:ascii="Open Sans" w:hAnsi="Open Sans" w:cs="Open Sans"/>
          <w:color w:val="403000" w:themeColor="accent4" w:themeShade="40"/>
          <w:szCs w:val="18"/>
          <w:lang w:val="nl-NL"/>
        </w:rPr>
        <w:t>;</w:t>
      </w:r>
    </w:p>
    <w:p w14:paraId="63B17EBA" w14:textId="77777777" w:rsidR="00F21189" w:rsidRPr="00894BF8" w:rsidRDefault="00F21189" w:rsidP="00F21189">
      <w:pPr>
        <w:pStyle w:val="ListParagraph"/>
        <w:numPr>
          <w:ilvl w:val="0"/>
          <w:numId w:val="4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Subverwerker: de partij die door Verwerker wordt ingeschakeld als Verwerker ten behoeve van de Verwerking van de Persoonsgegevens in het kader van de </w:t>
      </w:r>
      <w:r>
        <w:rPr>
          <w:rFonts w:ascii="Open Sans" w:hAnsi="Open Sans" w:cs="Open Sans"/>
          <w:strike/>
          <w:color w:val="403000" w:themeColor="accent4" w:themeShade="40"/>
          <w:szCs w:val="18"/>
          <w:lang w:val="nl-NL"/>
        </w:rPr>
        <w:t>plat</w:t>
      </w:r>
      <w:r w:rsidRPr="00894BF8">
        <w:rPr>
          <w:rFonts w:ascii="Open Sans" w:hAnsi="Open Sans" w:cs="Open Sans"/>
          <w:color w:val="403000" w:themeColor="accent4" w:themeShade="40"/>
          <w:szCs w:val="18"/>
          <w:lang w:val="nl-NL"/>
        </w:rPr>
        <w:t xml:space="preserve"> Verwerkersovereenkomst en de Dienstenovereenkomst;</w:t>
      </w:r>
    </w:p>
    <w:p w14:paraId="2B578328" w14:textId="77777777" w:rsidR="00F21189" w:rsidRPr="00894BF8" w:rsidRDefault="00F21189" w:rsidP="00F21189">
      <w:pPr>
        <w:pStyle w:val="ListParagraph"/>
        <w:numPr>
          <w:ilvl w:val="0"/>
          <w:numId w:val="4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AVG: de Algemene Verordening Gegevensbescherming (Verordening 2016/679 van het Europees Parlement en de Raad van 27 april 2016 betreffende de bescherming van natuurlijke personen in verband met de verwerking van persoonsgegevens en betreffende het vrije verkeer van die gegevens en tot int</w:t>
      </w:r>
      <w:r>
        <w:rPr>
          <w:rFonts w:ascii="Open Sans" w:hAnsi="Open Sans" w:cs="Open Sans"/>
          <w:color w:val="403000" w:themeColor="accent4" w:themeShade="40"/>
          <w:szCs w:val="18"/>
          <w:lang w:val="nl-NL"/>
        </w:rPr>
        <w:t>rekking van Richtlijn 95/46/EG);</w:t>
      </w:r>
    </w:p>
    <w:p w14:paraId="574F6A59" w14:textId="77777777" w:rsidR="00F21189" w:rsidRPr="00894BF8" w:rsidRDefault="00F21189" w:rsidP="00F21189">
      <w:pPr>
        <w:pStyle w:val="ListParagraph"/>
        <w:numPr>
          <w:ilvl w:val="0"/>
          <w:numId w:val="4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1CAFC9DA" w14:textId="77777777" w:rsidR="00F21189" w:rsidRPr="00894BF8" w:rsidRDefault="00F21189" w:rsidP="00F21189">
      <w:pPr>
        <w:spacing w:beforeLines="40" w:before="96" w:afterLines="20" w:after="48" w:line="240" w:lineRule="auto"/>
        <w:ind w:left="360" w:right="-144"/>
        <w:contextualSpacing/>
        <w:rPr>
          <w:rFonts w:ascii="Open Sans" w:hAnsi="Open Sans" w:cs="Open Sans"/>
          <w:color w:val="403000" w:themeColor="accent4" w:themeShade="40"/>
          <w:szCs w:val="18"/>
          <w:lang w:val="nl-NL"/>
        </w:rPr>
      </w:pPr>
    </w:p>
    <w:p w14:paraId="1EDF6ACB" w14:textId="77777777" w:rsidR="00F21189" w:rsidRPr="00894BF8" w:rsidRDefault="00F21189" w:rsidP="00F21189">
      <w:pPr>
        <w:spacing w:beforeLines="40" w:before="96" w:afterLines="20" w:after="48" w:line="240" w:lineRule="auto"/>
        <w:ind w:right="-144"/>
        <w:outlineLvl w:val="0"/>
        <w:rPr>
          <w:rFonts w:ascii="Open Sans" w:hAnsi="Open Sans" w:cs="Open Sans"/>
          <w:b/>
          <w:color w:val="403000" w:themeColor="accent4" w:themeShade="40"/>
          <w:szCs w:val="18"/>
          <w:lang w:val="nl-NL"/>
        </w:rPr>
      </w:pPr>
      <w:r w:rsidRPr="00894BF8">
        <w:rPr>
          <w:rFonts w:ascii="Open Sans" w:hAnsi="Open Sans" w:cs="Open Sans"/>
          <w:b/>
          <w:color w:val="403000" w:themeColor="accent4" w:themeShade="40"/>
          <w:szCs w:val="18"/>
          <w:lang w:val="nl-NL"/>
        </w:rPr>
        <w:t xml:space="preserve">Artikel 2: Onderwerp en opdracht Verwerkersovereenkomst </w:t>
      </w:r>
    </w:p>
    <w:p w14:paraId="7C10A2DE" w14:textId="77777777" w:rsidR="00F21189" w:rsidRPr="00894BF8" w:rsidRDefault="00F21189" w:rsidP="00F21189">
      <w:pPr>
        <w:pStyle w:val="ListParagraph"/>
        <w:numPr>
          <w:ilvl w:val="0"/>
          <w:numId w:val="30"/>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Deze Verwerkersovereenkomst is van toepassing op de Verwerking van Persoonsgegevens in het kader van de uitvoering van de Dienstenovereenkomst. </w:t>
      </w:r>
    </w:p>
    <w:p w14:paraId="25451689" w14:textId="77777777" w:rsidR="00F21189" w:rsidRPr="00894BF8" w:rsidRDefault="00F21189" w:rsidP="00F21189">
      <w:pPr>
        <w:pStyle w:val="ListParagraph"/>
        <w:numPr>
          <w:ilvl w:val="0"/>
          <w:numId w:val="30"/>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geeft Verwerker conform artikel 28 AVG opdracht en Instructies om Persoonsgegevens te verwerken namens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De Instructies van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kunnen onder meer nader omschreven zijn in deze Verwerkersovereenkomst en de Dienstenovereenkomst. </w:t>
      </w:r>
    </w:p>
    <w:p w14:paraId="667E5138" w14:textId="77777777" w:rsidR="00F21189" w:rsidRPr="00894BF8" w:rsidRDefault="00F21189" w:rsidP="00F21189">
      <w:pPr>
        <w:pStyle w:val="ListParagraph"/>
        <w:numPr>
          <w:ilvl w:val="0"/>
          <w:numId w:val="30"/>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De bepalingen uit de Verwerkersovereenkomst gelden voor alle Verwerkingen zoals opgenomen in Bijlage 1, die plaatsvinden ter uitvoering van de Dienstenovereenkomst. Verwerker brengt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onverwijld op de hoogte indien Verwerker reden heeft om aan te nemen dat Verwerker niet langer aan de Verwerkersovereenkomst kan voldoen.</w:t>
      </w:r>
    </w:p>
    <w:p w14:paraId="16FECE2D" w14:textId="77777777" w:rsidR="00F21189" w:rsidRPr="00894BF8" w:rsidRDefault="00F21189" w:rsidP="00F21189">
      <w:pPr>
        <w:spacing w:before="0" w:line="240" w:lineRule="auto"/>
        <w:rPr>
          <w:rFonts w:ascii="Open Sans" w:hAnsi="Open Sans" w:cs="Open Sans"/>
          <w:b/>
          <w:color w:val="403000" w:themeColor="accent4" w:themeShade="40"/>
          <w:szCs w:val="18"/>
          <w:lang w:val="nl-NL"/>
        </w:rPr>
      </w:pPr>
    </w:p>
    <w:p w14:paraId="48385F5A" w14:textId="77777777" w:rsidR="00F21189" w:rsidRPr="00894BF8" w:rsidRDefault="00F21189" w:rsidP="00F21189">
      <w:pPr>
        <w:spacing w:beforeLines="40" w:before="96" w:afterLines="20" w:after="48" w:line="240" w:lineRule="auto"/>
        <w:ind w:right="-144"/>
        <w:outlineLvl w:val="0"/>
        <w:rPr>
          <w:rFonts w:ascii="Open Sans" w:hAnsi="Open Sans" w:cs="Open Sans"/>
          <w:b/>
          <w:color w:val="403000" w:themeColor="accent4" w:themeShade="40"/>
          <w:szCs w:val="18"/>
          <w:lang w:val="nl-NL"/>
        </w:rPr>
      </w:pPr>
      <w:r w:rsidRPr="00894BF8">
        <w:rPr>
          <w:rFonts w:ascii="Open Sans" w:hAnsi="Open Sans" w:cs="Open Sans"/>
          <w:b/>
          <w:color w:val="403000" w:themeColor="accent4" w:themeShade="40"/>
          <w:szCs w:val="18"/>
          <w:lang w:val="nl-NL"/>
        </w:rPr>
        <w:t>Artikel 3: Rolverdeling</w:t>
      </w:r>
    </w:p>
    <w:p w14:paraId="35AED2B8" w14:textId="77777777" w:rsidR="00F21189" w:rsidRPr="00894BF8" w:rsidRDefault="00F21189" w:rsidP="00F21189">
      <w:pPr>
        <w:pStyle w:val="ListParagraph"/>
        <w:numPr>
          <w:ilvl w:val="0"/>
          <w:numId w:val="31"/>
        </w:numPr>
        <w:spacing w:beforeLines="40" w:before="96" w:afterLines="20" w:after="48"/>
        <w:ind w:right="-144"/>
        <w:rPr>
          <w:rFonts w:ascii="Open Sans" w:hAnsi="Open Sans" w:cs="Open Sans"/>
          <w:color w:val="403000" w:themeColor="accent4" w:themeShade="40"/>
          <w:szCs w:val="18"/>
          <w:lang w:val="nl-NL"/>
        </w:rPr>
      </w:pP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is ten aanzien van de in diens opdracht uit te voeren Verwerkingen van Persoonsgegevens de Verwerkingsverantwoordelijke. Verwerker is Verwerker in de zin van de AVG.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heeft en houdt zelfstandige zeggenschap over het (het bepalen van) doel en de middelen van de Verwerking van de Persoonsgegevens. </w:t>
      </w:r>
    </w:p>
    <w:p w14:paraId="0ED69A37" w14:textId="77777777" w:rsidR="00F21189" w:rsidRPr="00894BF8" w:rsidRDefault="00F21189" w:rsidP="00F21189">
      <w:pPr>
        <w:pStyle w:val="ListParagraph"/>
        <w:numPr>
          <w:ilvl w:val="0"/>
          <w:numId w:val="31"/>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Verwerker draagt er zorg voor dat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voorafgaande aan het sluiten van deze Verwerkersovereenkomst toereikend wordt geïnformeerd over de dienst(en) die de Verwerker verleent, en de uit te voeren Verwerkingen. </w:t>
      </w:r>
    </w:p>
    <w:p w14:paraId="59E6DA63" w14:textId="77777777" w:rsidR="00F21189" w:rsidRPr="00894BF8" w:rsidRDefault="00F21189" w:rsidP="00F21189">
      <w:pPr>
        <w:pStyle w:val="ListParagraph"/>
        <w:numPr>
          <w:ilvl w:val="0"/>
          <w:numId w:val="31"/>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Onverminderd hetgeen elders in deze Verwerkersovereenkomst is bepaald, informeert Verwerker voorafgaand aan het sluiten van deze Verwerkersovereenkomst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in Bijlage 1 over de in lid 2 bedoelde dienstenen de Verwerkingen die in dat kader plaatsvinden. De in Bijlage 1 opgenomen informatie moet in begrijpelijke taal zijn </w:t>
      </w:r>
      <w:r w:rsidRPr="00894BF8">
        <w:rPr>
          <w:rFonts w:ascii="Open Sans" w:hAnsi="Open Sans" w:cs="Open Sans"/>
          <w:color w:val="403000" w:themeColor="accent4" w:themeShade="40"/>
          <w:szCs w:val="18"/>
          <w:lang w:val="nl-NL"/>
        </w:rPr>
        <w:lastRenderedPageBreak/>
        <w:t xml:space="preserve">beschreven, waardoor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geïnformeerd akkoord kan gaan met de afname van deze dienst(en) en de uitvoering van de bijbehorende Verwerkingen.</w:t>
      </w:r>
    </w:p>
    <w:p w14:paraId="085500D4" w14:textId="77777777" w:rsidR="00F21189" w:rsidRPr="00894BF8" w:rsidRDefault="00F21189" w:rsidP="00F21189">
      <w:pPr>
        <w:pStyle w:val="ListParagraph"/>
        <w:numPr>
          <w:ilvl w:val="0"/>
          <w:numId w:val="31"/>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neemt de in lid 2 van dit artikel genoemde Verwerking van de Persoonsgegevens op in een register van de verwerkingsactiviteiten die onder hun verantwoordelijkheid plaatsvinden. </w:t>
      </w:r>
    </w:p>
    <w:p w14:paraId="400D77F8" w14:textId="77777777" w:rsidR="00F21189" w:rsidRPr="00894BF8" w:rsidRDefault="00F21189" w:rsidP="00F21189">
      <w:pPr>
        <w:pStyle w:val="ListParagraph"/>
        <w:numPr>
          <w:ilvl w:val="0"/>
          <w:numId w:val="31"/>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Voor zover artikel 30 lid 5 AVG daartoe verplicht, houdt Verwerker conform artikel 30, lid 2 AVG een register bij van alle categorieën van verwerkingsactiviteiten die Verwerker ten behoeve van een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verricht. </w:t>
      </w:r>
    </w:p>
    <w:p w14:paraId="5FC02C59" w14:textId="77777777" w:rsidR="00F21189" w:rsidRPr="00894BF8" w:rsidRDefault="00F21189" w:rsidP="00F21189">
      <w:pPr>
        <w:pStyle w:val="ListParagraph"/>
        <w:numPr>
          <w:ilvl w:val="0"/>
          <w:numId w:val="31"/>
        </w:numPr>
        <w:spacing w:beforeLines="40" w:before="96" w:afterLines="20" w:after="48"/>
        <w:ind w:right="-144"/>
        <w:rPr>
          <w:rFonts w:ascii="Open Sans" w:hAnsi="Open Sans" w:cs="Open Sans"/>
          <w:color w:val="403000" w:themeColor="accent4" w:themeShade="40"/>
          <w:szCs w:val="18"/>
          <w:lang w:val="nl-NL"/>
        </w:rPr>
      </w:pP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en Verwerker verstrekken elkaar over en weer alle benodigde informatie teneinde een goede naleving van de Toepasselijke wet- en regelgeving betreffende de Verwerking van Persoonsgegevens mogelijk te maken.</w:t>
      </w:r>
    </w:p>
    <w:p w14:paraId="6A724891" w14:textId="77777777" w:rsidR="00F21189" w:rsidRPr="0028605A" w:rsidRDefault="00F21189" w:rsidP="00F21189">
      <w:pPr>
        <w:spacing w:beforeLines="40" w:before="96" w:afterLines="20" w:after="48"/>
        <w:ind w:right="-144"/>
        <w:rPr>
          <w:rFonts w:ascii="Open Sans" w:hAnsi="Open Sans" w:cs="Open Sans"/>
          <w:color w:val="403000" w:themeColor="accent4" w:themeShade="40"/>
          <w:szCs w:val="18"/>
          <w:lang w:val="nl-NL"/>
        </w:rPr>
      </w:pPr>
    </w:p>
    <w:p w14:paraId="36CD473C" w14:textId="77777777" w:rsidR="008A74A2" w:rsidRPr="000427CE" w:rsidRDefault="008A74A2" w:rsidP="008A74A2">
      <w:pPr>
        <w:spacing w:beforeLines="40" w:before="96" w:afterLines="20" w:after="48"/>
        <w:ind w:right="-144"/>
        <w:rPr>
          <w:rFonts w:ascii="Open Sans" w:hAnsi="Open Sans" w:cs="Open Sans"/>
          <w:b/>
          <w:color w:val="403000" w:themeColor="accent4" w:themeShade="40"/>
          <w:szCs w:val="18"/>
          <w:lang w:val="nl-NL"/>
        </w:rPr>
      </w:pPr>
      <w:r w:rsidRPr="000427CE">
        <w:rPr>
          <w:rFonts w:ascii="Open Sans" w:hAnsi="Open Sans" w:cs="Open Sans"/>
          <w:b/>
          <w:color w:val="403000" w:themeColor="accent4" w:themeShade="40"/>
          <w:szCs w:val="18"/>
          <w:lang w:val="nl-NL"/>
        </w:rPr>
        <w:t>Artikel 4: Privacyconvenant</w:t>
      </w:r>
    </w:p>
    <w:p w14:paraId="7C3291B3" w14:textId="77777777" w:rsidR="008A74A2" w:rsidRPr="00894BF8" w:rsidRDefault="008A74A2" w:rsidP="008A74A2">
      <w:pPr>
        <w:pStyle w:val="ListParagraph"/>
        <w:numPr>
          <w:ilvl w:val="0"/>
          <w:numId w:val="47"/>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Partijen onderschrijven de bepalingen in het Convenant.</w:t>
      </w:r>
    </w:p>
    <w:p w14:paraId="3B0C8480" w14:textId="77777777" w:rsidR="008A74A2" w:rsidRPr="00894BF8" w:rsidRDefault="008A74A2" w:rsidP="008A74A2">
      <w:pPr>
        <w:pStyle w:val="ListParagraph"/>
        <w:spacing w:beforeLines="40" w:before="96" w:afterLines="20" w:after="48"/>
        <w:ind w:left="720" w:right="-144"/>
        <w:rPr>
          <w:rFonts w:ascii="Open Sans" w:hAnsi="Open Sans" w:cs="Open Sans"/>
          <w:color w:val="403000" w:themeColor="accent4" w:themeShade="40"/>
          <w:szCs w:val="18"/>
          <w:lang w:val="nl-NL"/>
        </w:rPr>
      </w:pPr>
    </w:p>
    <w:p w14:paraId="3D56D4A4" w14:textId="6A3750E6" w:rsidR="00F21189" w:rsidRPr="00894BF8" w:rsidRDefault="00F21189" w:rsidP="00F21189">
      <w:pPr>
        <w:spacing w:beforeLines="40" w:before="96" w:afterLines="20" w:after="48" w:line="240" w:lineRule="auto"/>
        <w:ind w:right="-144"/>
        <w:outlineLvl w:val="0"/>
        <w:rPr>
          <w:rFonts w:ascii="Open Sans" w:hAnsi="Open Sans" w:cs="Open Sans"/>
          <w:color w:val="403000" w:themeColor="accent4" w:themeShade="40"/>
          <w:szCs w:val="18"/>
          <w:lang w:val="nl-NL"/>
        </w:rPr>
      </w:pPr>
      <w:r w:rsidRPr="00894BF8">
        <w:rPr>
          <w:rFonts w:ascii="Open Sans" w:hAnsi="Open Sans" w:cs="Open Sans"/>
          <w:b/>
          <w:color w:val="403000" w:themeColor="accent4" w:themeShade="40"/>
          <w:szCs w:val="18"/>
          <w:lang w:val="nl-NL"/>
        </w:rPr>
        <w:t xml:space="preserve">Artikel </w:t>
      </w:r>
      <w:r w:rsidR="008A74A2">
        <w:rPr>
          <w:rFonts w:ascii="Open Sans" w:hAnsi="Open Sans" w:cs="Open Sans"/>
          <w:b/>
          <w:color w:val="403000" w:themeColor="accent4" w:themeShade="40"/>
          <w:szCs w:val="18"/>
          <w:lang w:val="nl-NL"/>
        </w:rPr>
        <w:t>5</w:t>
      </w:r>
      <w:r w:rsidRPr="00894BF8">
        <w:rPr>
          <w:rFonts w:ascii="Open Sans" w:hAnsi="Open Sans" w:cs="Open Sans"/>
          <w:b/>
          <w:color w:val="403000" w:themeColor="accent4" w:themeShade="40"/>
          <w:szCs w:val="18"/>
          <w:lang w:val="nl-NL"/>
        </w:rPr>
        <w:t>: Gebruik Persoonsgegevens</w:t>
      </w:r>
    </w:p>
    <w:p w14:paraId="47287BFB" w14:textId="77777777" w:rsidR="00F21189" w:rsidRPr="00894BF8" w:rsidRDefault="00F21189" w:rsidP="00F21189">
      <w:pPr>
        <w:pStyle w:val="ListParagraph"/>
        <w:numPr>
          <w:ilvl w:val="0"/>
          <w:numId w:val="32"/>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Verwerker verplicht zich om de van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verkregen Persoonsgegevens niet voor andere doeleinden of op andere wijze te gebruiken dan voor het doel, en conform de wijze waarvoor, de gegevens zijn verstrekt of aan hem bekend zijn geworden. Het is Verwerker derhalve niet toegestaan andere gegevensverwerkingen uit te voeren dan door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(schriftelijk dan wel elektronisch) aan Verwerker in het kader van de uitvoering van de Dienstenovereenkomst zijn opgedragen, behoudens een eventuele afwijkende Unierechtelijke of lidstaatrechtelijke bepaling, dan wel een rechterlijke uitspraak, voor zover daartegen geen beroep meer openstaat. In dat geval stelt Verwerker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voorafgaand aan de Verwerking van dat wettelijke voorschrift dan wel de rechterlijke uitspraak in kennis, tenzij dergelijke kennisgeving om gewichtige redenen van algemeen belang verboden is. </w:t>
      </w:r>
    </w:p>
    <w:p w14:paraId="7729354E" w14:textId="77777777" w:rsidR="00F21189" w:rsidRPr="00894BF8" w:rsidRDefault="00F21189" w:rsidP="00F21189">
      <w:pPr>
        <w:pStyle w:val="NoSpacing"/>
        <w:numPr>
          <w:ilvl w:val="0"/>
          <w:numId w:val="32"/>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Een overzicht van onder meer de categorieën Persoonsgegevens en het doel waarvoor de Persoonsgegevens worden verwerkt, is uiteengezet in de Privacybijsluiter bij deze Verwerkersovereenkomst. </w:t>
      </w:r>
    </w:p>
    <w:p w14:paraId="02EEEB79" w14:textId="77777777" w:rsidR="00F21189" w:rsidRPr="00894BF8" w:rsidRDefault="00F21189" w:rsidP="00F21189">
      <w:pPr>
        <w:pStyle w:val="ListParagraph"/>
        <w:numPr>
          <w:ilvl w:val="0"/>
          <w:numId w:val="32"/>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Verwerker specificeert in de Privacybijsluiter voor welke, door de Verwerkersverantwoordelijke vastgestelde, doeleinden persoonsgegevens worden verwerkt bij het gebruik zijn product en/of dienst, en welke categorieën Persoonsgegevens daarbij worden verwerkt</w:t>
      </w:r>
    </w:p>
    <w:p w14:paraId="22CC376F" w14:textId="77777777" w:rsidR="00F21189" w:rsidRPr="00894BF8" w:rsidRDefault="00F21189" w:rsidP="00F21189">
      <w:pPr>
        <w:pStyle w:val="NoSpacing"/>
        <w:numPr>
          <w:ilvl w:val="0"/>
          <w:numId w:val="32"/>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Indien Verwerker in strijd met de AVG het doel en de middelen van de Verwerking van Persoonsgegevens bepaalt, wordt Verwerker met betrekking tot die Verwerking als Verwerkingsverantwoordelijke beschouwd.</w:t>
      </w:r>
    </w:p>
    <w:p w14:paraId="0F7752D4" w14:textId="77777777" w:rsidR="00F21189" w:rsidRPr="00894BF8" w:rsidRDefault="00F21189" w:rsidP="00F21189">
      <w:pPr>
        <w:pStyle w:val="ListParagraph"/>
        <w:spacing w:beforeLines="40" w:before="96" w:afterLines="20" w:after="48"/>
        <w:ind w:left="720" w:right="-144"/>
        <w:rPr>
          <w:rFonts w:ascii="Open Sans" w:hAnsi="Open Sans" w:cs="Open Sans"/>
          <w:color w:val="403000" w:themeColor="accent4" w:themeShade="40"/>
          <w:szCs w:val="18"/>
          <w:lang w:val="nl-NL"/>
        </w:rPr>
      </w:pPr>
    </w:p>
    <w:p w14:paraId="6FB14DA7" w14:textId="71F1D642" w:rsidR="00F21189" w:rsidRPr="00894BF8" w:rsidRDefault="00F21189" w:rsidP="00F21189">
      <w:pPr>
        <w:spacing w:beforeLines="40" w:before="96" w:afterLines="20" w:after="48" w:line="240" w:lineRule="auto"/>
        <w:ind w:right="-144"/>
        <w:outlineLvl w:val="0"/>
        <w:rPr>
          <w:rFonts w:ascii="Open Sans" w:hAnsi="Open Sans" w:cs="Open Sans"/>
          <w:b/>
          <w:color w:val="403000" w:themeColor="accent4" w:themeShade="40"/>
          <w:szCs w:val="18"/>
          <w:lang w:val="nl-NL"/>
        </w:rPr>
      </w:pPr>
      <w:r w:rsidRPr="00894BF8">
        <w:rPr>
          <w:rFonts w:ascii="Open Sans" w:hAnsi="Open Sans" w:cs="Open Sans"/>
          <w:b/>
          <w:color w:val="403000" w:themeColor="accent4" w:themeShade="40"/>
          <w:szCs w:val="18"/>
          <w:lang w:val="nl-NL"/>
        </w:rPr>
        <w:t xml:space="preserve">Artikel </w:t>
      </w:r>
      <w:r w:rsidR="008A74A2">
        <w:rPr>
          <w:rFonts w:ascii="Open Sans" w:hAnsi="Open Sans" w:cs="Open Sans"/>
          <w:b/>
          <w:color w:val="403000" w:themeColor="accent4" w:themeShade="40"/>
          <w:szCs w:val="18"/>
          <w:lang w:val="nl-NL"/>
        </w:rPr>
        <w:t>6</w:t>
      </w:r>
      <w:r w:rsidRPr="00894BF8">
        <w:rPr>
          <w:rFonts w:ascii="Open Sans" w:hAnsi="Open Sans" w:cs="Open Sans"/>
          <w:b/>
          <w:color w:val="403000" w:themeColor="accent4" w:themeShade="40"/>
          <w:szCs w:val="18"/>
          <w:lang w:val="nl-NL"/>
        </w:rPr>
        <w:t xml:space="preserve">: Vertrouwelijkheid </w:t>
      </w:r>
    </w:p>
    <w:p w14:paraId="7FFCFA2C" w14:textId="77777777" w:rsidR="00F21189" w:rsidRPr="00894BF8" w:rsidRDefault="00F21189" w:rsidP="00F21189">
      <w:pPr>
        <w:pStyle w:val="NoSpacing"/>
        <w:numPr>
          <w:ilvl w:val="0"/>
          <w:numId w:val="3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Verwerker garandeert dat hij alle Persoonsgegevens strikt vertrouwelijk zal behandelen ten opzichte van derden, waaronder overheidsinstanties. Verwerker zorgt er voor dat een ieder die hij betrekt bij de Verwerking van Persoonsgegevens, waaronder zijn werknemers, vertegenwoordigers en/of Subverwerkers, deze gegevens als vertrouwelijk behandelt. Verwerker waarborgt dat met de tot het Verwerken van de Persoonsgegevens geautoriseerde personen een geheimhoudingsovereenkomst of –beding is gesloten, of dat deze door een wettelijke verplichting tot geheimhouding zijn gebonden. </w:t>
      </w:r>
    </w:p>
    <w:p w14:paraId="27166997" w14:textId="77777777" w:rsidR="00F21189" w:rsidRPr="00894BF8" w:rsidRDefault="00F21189" w:rsidP="00F21189">
      <w:pPr>
        <w:pStyle w:val="NoSpacing"/>
        <w:numPr>
          <w:ilvl w:val="0"/>
          <w:numId w:val="3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lastRenderedPageBreak/>
        <w:t>De in lid 1 bedoelde geheimhoudingsplicht geldt niet in de hierna genoemde gevallen:</w:t>
      </w:r>
    </w:p>
    <w:p w14:paraId="21DD8639" w14:textId="77777777" w:rsidR="00F21189" w:rsidRPr="00894BF8" w:rsidRDefault="00F21189" w:rsidP="00F21189">
      <w:pPr>
        <w:pStyle w:val="NoSpacing"/>
        <w:numPr>
          <w:ilvl w:val="1"/>
          <w:numId w:val="3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voor zover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uitdrukkelijk toestemming heeft gegeven om de Persoonsgegevens aan een Derde te verstrekken;</w:t>
      </w:r>
    </w:p>
    <w:p w14:paraId="4A72ED4E" w14:textId="77777777" w:rsidR="00F21189" w:rsidRPr="00894BF8" w:rsidRDefault="00F21189" w:rsidP="00F21189">
      <w:pPr>
        <w:pStyle w:val="NoSpacing"/>
        <w:numPr>
          <w:ilvl w:val="1"/>
          <w:numId w:val="3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indien het verstrekken van de Persoonsgegevens aan een Derde noodzakelijk is gezien de aard van de door Verwerker aan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te verlenen diensten; of </w:t>
      </w:r>
    </w:p>
    <w:p w14:paraId="3606B6CF" w14:textId="77777777" w:rsidR="00F21189" w:rsidRPr="00894BF8" w:rsidRDefault="00F21189" w:rsidP="00F21189">
      <w:pPr>
        <w:pStyle w:val="NoSpacing"/>
        <w:numPr>
          <w:ilvl w:val="1"/>
          <w:numId w:val="3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indien Verwerker op grond van een Unierechtelijke of lidstaatrechtelijke bepaling dan wel een gerechtelijke uitspraak, voor zover daartegen geen beroep meer openstaat, tot verstrekking verplicht is. </w:t>
      </w:r>
    </w:p>
    <w:p w14:paraId="3A9FE523" w14:textId="77777777" w:rsidR="00F21189" w:rsidRPr="00894BF8" w:rsidRDefault="00F21189" w:rsidP="00F21189">
      <w:pPr>
        <w:pStyle w:val="NoSpacing"/>
        <w:numPr>
          <w:ilvl w:val="0"/>
          <w:numId w:val="3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Verwerker onthoudt zich van verstrekking of bekendmaking van Persoonsgegeven aan een Derde, tenzij deze verstrekking of bekendmaking plaatsvindt in opdracht van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respectievelijk wanneer dit noodzakelijk is om te voldoen aan een gerechtelijke uitspraak, voor zover daartegen geen beroep meer openstaat, of een op de Verwerker rustende wettelijke verplichting. Onder wettelijke verplichtingen zijn begrepen Unierechtelijke of lidstaatrechtelijke bepalingen op grond waarvan Verwerker tot verstrekken verplicht is. In geval van een wettelijke verplichting, verifieert Verwerker voorafgaand aan de verstrekking de wettelijke grondslag en de identiteit van de partij die zich daarop beroept. Daarnaast stelt Verwerker</w:t>
      </w:r>
      <w:r>
        <w:rPr>
          <w:rFonts w:ascii="Open Sans" w:hAnsi="Open Sans" w:cs="Open Sans"/>
          <w:color w:val="403000" w:themeColor="accent4" w:themeShade="40"/>
          <w:szCs w:val="18"/>
          <w:lang w:val="nl-NL"/>
        </w:rPr>
        <w:t xml:space="preserve"> -</w:t>
      </w:r>
      <w:r w:rsidRPr="00894BF8">
        <w:rPr>
          <w:rFonts w:ascii="Open Sans" w:hAnsi="Open Sans" w:cs="Open Sans"/>
          <w:color w:val="403000" w:themeColor="accent4" w:themeShade="40"/>
          <w:szCs w:val="18"/>
          <w:lang w:val="nl-NL"/>
        </w:rPr>
        <w:t xml:space="preserve"> tenzij die wetgeving deze kennisgeving om gewichtige redenen van algemeen belang verbiedt -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onmiddellijk, zo mogelijk voorafgaand aan de verstrekking, in kennis van de voor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relevante informatie inzake deze verstrekking.</w:t>
      </w:r>
    </w:p>
    <w:p w14:paraId="23264390" w14:textId="77777777" w:rsidR="00F21189" w:rsidRPr="00894BF8" w:rsidRDefault="00F21189" w:rsidP="00F21189">
      <w:pPr>
        <w:pStyle w:val="NoSpacing"/>
        <w:numPr>
          <w:ilvl w:val="0"/>
          <w:numId w:val="33"/>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Verwerker zorgt er voor dat de onder diens gezag werkende medewerkers uitsluitend toegang hebben tot Persoonsgegevens voor zover noodzakelijk voor de vervulling van hun werkzaamheden.</w:t>
      </w:r>
    </w:p>
    <w:p w14:paraId="0DFAA89B" w14:textId="77777777" w:rsidR="00F21189" w:rsidRPr="00894BF8" w:rsidRDefault="00F21189" w:rsidP="00F21189">
      <w:pPr>
        <w:spacing w:beforeLines="40" w:before="96" w:afterLines="20" w:after="48" w:line="240" w:lineRule="auto"/>
        <w:ind w:right="-144"/>
        <w:rPr>
          <w:rFonts w:ascii="Open Sans" w:hAnsi="Open Sans" w:cs="Open Sans"/>
          <w:b/>
          <w:color w:val="403000" w:themeColor="accent4" w:themeShade="40"/>
          <w:szCs w:val="18"/>
          <w:lang w:val="nl-NL"/>
        </w:rPr>
      </w:pPr>
    </w:p>
    <w:p w14:paraId="64230C1C" w14:textId="03833764" w:rsidR="00F21189" w:rsidRPr="00894BF8" w:rsidRDefault="00F21189" w:rsidP="00F21189">
      <w:pPr>
        <w:spacing w:beforeLines="40" w:before="96" w:afterLines="20" w:after="48" w:line="240" w:lineRule="auto"/>
        <w:ind w:right="-144"/>
        <w:outlineLvl w:val="0"/>
        <w:rPr>
          <w:rFonts w:ascii="Open Sans" w:hAnsi="Open Sans" w:cs="Open Sans"/>
          <w:b/>
          <w:color w:val="403000" w:themeColor="accent4" w:themeShade="40"/>
          <w:szCs w:val="18"/>
          <w:lang w:val="nl-NL"/>
        </w:rPr>
      </w:pPr>
      <w:r w:rsidRPr="00894BF8">
        <w:rPr>
          <w:rFonts w:ascii="Open Sans" w:hAnsi="Open Sans" w:cs="Open Sans"/>
          <w:b/>
          <w:color w:val="403000" w:themeColor="accent4" w:themeShade="40"/>
          <w:szCs w:val="18"/>
          <w:lang w:val="nl-NL"/>
        </w:rPr>
        <w:t xml:space="preserve">Artikel </w:t>
      </w:r>
      <w:r w:rsidR="008A74A2">
        <w:rPr>
          <w:rFonts w:ascii="Open Sans" w:hAnsi="Open Sans" w:cs="Open Sans"/>
          <w:b/>
          <w:color w:val="403000" w:themeColor="accent4" w:themeShade="40"/>
          <w:szCs w:val="18"/>
          <w:lang w:val="nl-NL"/>
        </w:rPr>
        <w:t>7</w:t>
      </w:r>
      <w:r w:rsidRPr="00894BF8">
        <w:rPr>
          <w:rFonts w:ascii="Open Sans" w:hAnsi="Open Sans" w:cs="Open Sans"/>
          <w:b/>
          <w:color w:val="403000" w:themeColor="accent4" w:themeShade="40"/>
          <w:szCs w:val="18"/>
          <w:lang w:val="nl-NL"/>
        </w:rPr>
        <w:t xml:space="preserve">: Beveiliging en controle </w:t>
      </w:r>
    </w:p>
    <w:p w14:paraId="2F948B27" w14:textId="77777777" w:rsidR="00F21189" w:rsidRPr="00894BF8" w:rsidRDefault="00F21189" w:rsidP="00F21189">
      <w:pPr>
        <w:pStyle w:val="NoSpacing"/>
        <w:numPr>
          <w:ilvl w:val="0"/>
          <w:numId w:val="34"/>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Met inachtneming van het bepaalde in artikel 32 AVG zal Verwerker, gelijk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zorg dragen voor passende technische en organisatorische maatregelen om Persoonsgegevens te beveiligen en beschermen tegen ongeoorloofde of onrechtmatige verwerking en tegen onopzettelijk verlies, vernietiging of beschadiging. </w:t>
      </w:r>
    </w:p>
    <w:p w14:paraId="70AB301B" w14:textId="77777777" w:rsidR="00F21189" w:rsidRPr="00894BF8" w:rsidRDefault="00F21189" w:rsidP="00F21189">
      <w:pPr>
        <w:pStyle w:val="NoSpacing"/>
        <w:numPr>
          <w:ilvl w:val="0"/>
          <w:numId w:val="34"/>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Naast de maatregelen als genoemd in artikel 32 lid 1 AVG, worden onder meer de volgende maatregelen </w:t>
      </w:r>
      <w:r>
        <w:rPr>
          <w:rFonts w:ascii="Open Sans" w:hAnsi="Open Sans" w:cs="Open Sans"/>
          <w:color w:val="403000" w:themeColor="accent4" w:themeShade="40"/>
          <w:szCs w:val="18"/>
          <w:lang w:val="nl-NL"/>
        </w:rPr>
        <w:t>-</w:t>
      </w:r>
      <w:r w:rsidRPr="00894BF8">
        <w:rPr>
          <w:rFonts w:ascii="Open Sans" w:hAnsi="Open Sans" w:cs="Open Sans"/>
          <w:color w:val="403000" w:themeColor="accent4" w:themeShade="40"/>
          <w:szCs w:val="18"/>
          <w:lang w:val="nl-NL"/>
        </w:rPr>
        <w:t xml:space="preserve"> waar passend - genomen: </w:t>
      </w:r>
    </w:p>
    <w:p w14:paraId="72616CF3" w14:textId="77777777" w:rsidR="00F21189" w:rsidRPr="00894BF8" w:rsidRDefault="00F21189" w:rsidP="00F21189">
      <w:pPr>
        <w:pStyle w:val="NoSpacing"/>
        <w:numPr>
          <w:ilvl w:val="0"/>
          <w:numId w:val="41"/>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een passend beleid voor de beveiliging van de Verwerking van de Persoonsgegevens;</w:t>
      </w:r>
    </w:p>
    <w:p w14:paraId="1E9D8AE9" w14:textId="77777777" w:rsidR="00F21189" w:rsidRPr="00894BF8" w:rsidRDefault="00F21189" w:rsidP="00F21189">
      <w:pPr>
        <w:pStyle w:val="NoSpacing"/>
        <w:numPr>
          <w:ilvl w:val="0"/>
          <w:numId w:val="41"/>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maatregelen om te waarborgen dat enkel geautoriseerde medewerkers toegang hebben tot de Persoonsgegevens die in het kader van de Verwerkersovereenkomst worden verwerkt;</w:t>
      </w:r>
    </w:p>
    <w:p w14:paraId="1CE6BE06" w14:textId="77777777" w:rsidR="00F21189" w:rsidRPr="00894BF8" w:rsidRDefault="00F21189" w:rsidP="00F21189">
      <w:pPr>
        <w:pStyle w:val="NoSpacing"/>
        <w:numPr>
          <w:ilvl w:val="0"/>
          <w:numId w:val="41"/>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wordt in de gelegenheid gesteld om deze logbestanden periodiek te controleren. </w:t>
      </w:r>
    </w:p>
    <w:p w14:paraId="5B14BA8E" w14:textId="77777777" w:rsidR="00F21189" w:rsidRPr="00894BF8" w:rsidRDefault="00F21189" w:rsidP="00F21189">
      <w:pPr>
        <w:pStyle w:val="NoSpacing"/>
        <w:numPr>
          <w:ilvl w:val="0"/>
          <w:numId w:val="34"/>
        </w:numPr>
        <w:spacing w:beforeLines="40" w:before="96" w:afterLines="20" w:after="48"/>
        <w:ind w:right="-144"/>
        <w:rPr>
          <w:rFonts w:ascii="Open Sans" w:hAnsi="Open Sans" w:cs="Open Sans"/>
          <w:color w:val="403000" w:themeColor="accent4" w:themeShade="40"/>
          <w:szCs w:val="18"/>
          <w:lang w:val="nl-NL"/>
        </w:rPr>
      </w:pPr>
      <w:r>
        <w:rPr>
          <w:rFonts w:ascii="Open Sans" w:hAnsi="Open Sans" w:cs="Open Sans"/>
          <w:color w:val="403000" w:themeColor="accent4" w:themeShade="40"/>
          <w:szCs w:val="18"/>
          <w:lang w:val="nl-NL"/>
        </w:rPr>
        <w:lastRenderedPageBreak/>
        <w:t>Ieder der p</w:t>
      </w:r>
      <w:r w:rsidRPr="00894BF8">
        <w:rPr>
          <w:rFonts w:ascii="Open Sans" w:hAnsi="Open Sans" w:cs="Open Sans"/>
          <w:color w:val="403000" w:themeColor="accent4" w:themeShade="40"/>
          <w:szCs w:val="18"/>
          <w:lang w:val="nl-NL"/>
        </w:rPr>
        <w:t>artijen z</w:t>
      </w:r>
      <w:r>
        <w:rPr>
          <w:rFonts w:ascii="Open Sans" w:hAnsi="Open Sans" w:cs="Open Sans"/>
          <w:color w:val="403000" w:themeColor="accent4" w:themeShade="40"/>
          <w:szCs w:val="18"/>
          <w:lang w:val="nl-NL"/>
        </w:rPr>
        <w:t>a</w:t>
      </w:r>
      <w:r w:rsidRPr="00894BF8">
        <w:rPr>
          <w:rFonts w:ascii="Open Sans" w:hAnsi="Open Sans" w:cs="Open Sans"/>
          <w:color w:val="403000" w:themeColor="accent4" w:themeShade="40"/>
          <w:szCs w:val="18"/>
          <w:lang w:val="nl-NL"/>
        </w:rPr>
        <w:t>l de door haar getroffen beveiligingsmaatregelen periodiek evalueren en aanscherpen, aanvullen of verbeteren voor zover de eisen of (technologische) ontwikkelingen daartoe aanleiding geven.</w:t>
      </w:r>
    </w:p>
    <w:p w14:paraId="4545B346" w14:textId="77777777" w:rsidR="00F21189" w:rsidRPr="00894BF8" w:rsidRDefault="00F21189" w:rsidP="00F21189">
      <w:pPr>
        <w:pStyle w:val="NoSpacing"/>
        <w:numPr>
          <w:ilvl w:val="0"/>
          <w:numId w:val="34"/>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In Bijlage 2 worden de afspraken tussen Partijen vastgelegd over de passende technische en organisatorische beveiligingsmaatregelen, alsmede over de inhoud, vorm en de werkwijze van de verklaringen die Verwerker verstrekt over de afgesproken beveiligingsmaatregelen. </w:t>
      </w:r>
    </w:p>
    <w:p w14:paraId="1DFB6E88" w14:textId="3B178F89" w:rsidR="00F21189" w:rsidRPr="00894BF8" w:rsidRDefault="00F21189" w:rsidP="00F21189">
      <w:pPr>
        <w:pStyle w:val="NoSpacing"/>
        <w:numPr>
          <w:ilvl w:val="0"/>
          <w:numId w:val="34"/>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De Verwerker stelt in goed overleg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in staat om effectief te kunnen voldoen aan zijn wettelijke verplichting om toezicht te houden op de naleving door de Verwerker van de technische en organisatorische beveiligingsmaatregelen alsmede op de naleving van de in artikel </w:t>
      </w:r>
      <w:r w:rsidR="008A74A2">
        <w:rPr>
          <w:rFonts w:ascii="Open Sans" w:hAnsi="Open Sans" w:cs="Open Sans"/>
          <w:color w:val="403000" w:themeColor="accent4" w:themeShade="40"/>
          <w:szCs w:val="18"/>
          <w:lang w:val="nl-NL"/>
        </w:rPr>
        <w:t>8</w:t>
      </w:r>
      <w:r w:rsidRPr="00894BF8">
        <w:rPr>
          <w:rFonts w:ascii="Open Sans" w:hAnsi="Open Sans" w:cs="Open Sans"/>
          <w:color w:val="403000" w:themeColor="accent4" w:themeShade="40"/>
          <w:szCs w:val="18"/>
          <w:lang w:val="nl-NL"/>
        </w:rPr>
        <w:t xml:space="preserve"> genoemde verplichtingen ten aanzien van Datalekken. </w:t>
      </w:r>
    </w:p>
    <w:p w14:paraId="51CC12AC" w14:textId="77777777" w:rsidR="00F21189" w:rsidRPr="00894BF8" w:rsidRDefault="00F21189" w:rsidP="00F21189">
      <w:pPr>
        <w:pStyle w:val="NoSpacing"/>
        <w:numPr>
          <w:ilvl w:val="0"/>
          <w:numId w:val="34"/>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In aanvulling op de voorgaande leden heeft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te allen tijde het recht om, in overleg met de Verwerker en met inachtneming van een redelijke termijn, de naleving van Toepasselijke wet- en regelgeving betreffende de Verwerking van Persoonsgegevens, de Dienstenovereenkomst en deze Verwerkersovereenkomst, waaronder de door Verwerker genomen technische en organisatorische beveiligingsmaatregelen, te (doen) controleren middels een audit uitgevoerd door een onafhankelijke gecertificeerde externe deskundige: </w:t>
      </w:r>
    </w:p>
    <w:p w14:paraId="1CF54453" w14:textId="77777777" w:rsidR="00F21189" w:rsidRPr="00894BF8" w:rsidRDefault="00F21189" w:rsidP="00F21189">
      <w:pPr>
        <w:pStyle w:val="NoSpacing"/>
        <w:numPr>
          <w:ilvl w:val="0"/>
          <w:numId w:val="45"/>
        </w:numPr>
        <w:spacing w:beforeLines="40" w:before="96" w:afterLines="20" w:after="48"/>
        <w:ind w:right="-144"/>
        <w:rPr>
          <w:rFonts w:ascii="Open Sans" w:hAnsi="Open Sans" w:cs="Open Sans"/>
          <w:color w:val="403000" w:themeColor="accent4" w:themeShade="40"/>
          <w:lang w:val="nl-NL"/>
        </w:rPr>
      </w:pPr>
      <w:r w:rsidRPr="00894BF8">
        <w:rPr>
          <w:rFonts w:ascii="Open Sans" w:hAnsi="Open Sans" w:cs="Open Sans"/>
          <w:color w:val="403000" w:themeColor="accent4" w:themeShade="40"/>
          <w:szCs w:val="18"/>
          <w:lang w:val="nl-NL"/>
        </w:rPr>
        <w:t xml:space="preserve">Partijen kunnen in onderling overleg afspreken dat de audit wordt uitgevoerd door een door Verwerker, in overleg met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in te schakelen externe deskundige die een derden-verklaring (TPM) afgeeft. </w:t>
      </w:r>
    </w:p>
    <w:p w14:paraId="084AF6F4" w14:textId="77777777" w:rsidR="00F21189" w:rsidRPr="00894BF8" w:rsidRDefault="00F21189" w:rsidP="00F21189">
      <w:pPr>
        <w:pStyle w:val="NoSpacing"/>
        <w:numPr>
          <w:ilvl w:val="0"/>
          <w:numId w:val="45"/>
        </w:numPr>
        <w:spacing w:beforeLines="40" w:before="96" w:afterLines="20" w:after="48"/>
        <w:ind w:right="-144"/>
        <w:rPr>
          <w:rFonts w:ascii="Open Sans" w:hAnsi="Open Sans" w:cs="Open Sans"/>
          <w:color w:val="403000" w:themeColor="accent4" w:themeShade="40"/>
          <w:szCs w:val="18"/>
          <w:lang w:val="nl-NL"/>
        </w:rPr>
      </w:pPr>
      <w:r>
        <w:rPr>
          <w:rFonts w:ascii="Open Sans" w:hAnsi="Open Sans" w:cs="Open Sans"/>
          <w:color w:val="403000" w:themeColor="accent4" w:themeShade="40"/>
          <w:szCs w:val="18"/>
          <w:lang w:val="nl-NL"/>
        </w:rPr>
        <w:t>De auditor verstrekt het audit</w:t>
      </w:r>
      <w:r w:rsidRPr="00894BF8">
        <w:rPr>
          <w:rFonts w:ascii="Open Sans" w:hAnsi="Open Sans" w:cs="Open Sans"/>
          <w:color w:val="403000" w:themeColor="accent4" w:themeShade="40"/>
          <w:szCs w:val="18"/>
          <w:lang w:val="nl-NL"/>
        </w:rPr>
        <w:t xml:space="preserve">rapport alleen aan Partijen. </w:t>
      </w:r>
    </w:p>
    <w:p w14:paraId="3EF0971A" w14:textId="77777777" w:rsidR="00F21189" w:rsidRPr="00894BF8" w:rsidRDefault="00F21189" w:rsidP="00F21189">
      <w:pPr>
        <w:pStyle w:val="NoSpacing"/>
        <w:numPr>
          <w:ilvl w:val="0"/>
          <w:numId w:val="45"/>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Partijen maken onderling afspraken over de omgang met de uitkomsten van de audit.</w:t>
      </w:r>
    </w:p>
    <w:p w14:paraId="2EE19D95" w14:textId="77777777" w:rsidR="00F21189" w:rsidRPr="00D607A0" w:rsidRDefault="00F21189" w:rsidP="00F21189">
      <w:pPr>
        <w:pStyle w:val="NoSpacing"/>
        <w:numPr>
          <w:ilvl w:val="0"/>
          <w:numId w:val="45"/>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Partijen kunnen in onderling overleg afspreken dat, aan de hand van een geldige (inter)nationaal erkende certificering of een gelijkwaardig controle- of bewijsmiddel, een reeds uitgevoerde audit en daaruit afgegeven derden</w:t>
      </w:r>
      <w:r>
        <w:rPr>
          <w:rFonts w:ascii="Open Sans" w:hAnsi="Open Sans" w:cs="Open Sans"/>
          <w:color w:val="403000" w:themeColor="accent4" w:themeShade="40"/>
          <w:szCs w:val="18"/>
          <w:lang w:val="nl-NL"/>
        </w:rPr>
        <w:t>-verklaring gebruikt kan worden. Verantwoordelijke</w:t>
      </w:r>
      <w:r w:rsidRPr="00D607A0">
        <w:rPr>
          <w:rFonts w:ascii="Open Sans" w:hAnsi="Open Sans" w:cs="Open Sans"/>
          <w:color w:val="403000" w:themeColor="accent4" w:themeShade="40"/>
          <w:szCs w:val="18"/>
          <w:lang w:val="nl-NL"/>
        </w:rPr>
        <w:t xml:space="preserve"> wordt in dat geval geïnformeerd over de uitkomsten van de audit. </w:t>
      </w:r>
    </w:p>
    <w:p w14:paraId="20672E81" w14:textId="77777777" w:rsidR="00F21189" w:rsidRDefault="00F21189" w:rsidP="00F21189">
      <w:pPr>
        <w:pStyle w:val="NoSpacing"/>
        <w:numPr>
          <w:ilvl w:val="0"/>
          <w:numId w:val="45"/>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Partijen komen overeen dat de kosten van deze audit voor rekening komen van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tenzij uit de audit (grote) gebreken blijken, die aan Verwerker kunnen worden toegerekend. In dat geval treden partijen in overleg over de verdeling van de kosten van de audit.</w:t>
      </w:r>
    </w:p>
    <w:p w14:paraId="316FC861" w14:textId="77777777" w:rsidR="00F21189" w:rsidRPr="00894BF8" w:rsidRDefault="00F21189" w:rsidP="00F21189">
      <w:pPr>
        <w:pStyle w:val="NoSpacing"/>
        <w:spacing w:beforeLines="40" w:before="96" w:afterLines="20" w:after="48"/>
        <w:ind w:right="-144"/>
        <w:rPr>
          <w:rFonts w:ascii="Open Sans" w:hAnsi="Open Sans" w:cs="Open Sans"/>
          <w:color w:val="403000" w:themeColor="accent4" w:themeShade="40"/>
          <w:szCs w:val="18"/>
          <w:lang w:val="nl-NL"/>
        </w:rPr>
      </w:pPr>
    </w:p>
    <w:p w14:paraId="28670FF3" w14:textId="62F6B649" w:rsidR="00F21189" w:rsidRPr="00894BF8" w:rsidRDefault="00F21189" w:rsidP="00F21189">
      <w:pPr>
        <w:spacing w:beforeLines="40" w:before="96" w:afterLines="20" w:after="48" w:line="240" w:lineRule="auto"/>
        <w:ind w:right="-144"/>
        <w:outlineLvl w:val="0"/>
        <w:rPr>
          <w:rFonts w:ascii="Open Sans" w:hAnsi="Open Sans" w:cs="Open Sans"/>
          <w:b/>
          <w:color w:val="403000" w:themeColor="accent4" w:themeShade="40"/>
          <w:szCs w:val="18"/>
          <w:lang w:val="nl-NL"/>
        </w:rPr>
      </w:pPr>
      <w:r w:rsidRPr="00894BF8">
        <w:rPr>
          <w:rFonts w:ascii="Open Sans" w:hAnsi="Open Sans" w:cs="Open Sans"/>
          <w:b/>
          <w:color w:val="403000" w:themeColor="accent4" w:themeShade="40"/>
          <w:szCs w:val="18"/>
          <w:lang w:val="nl-NL"/>
        </w:rPr>
        <w:t xml:space="preserve">Artikel </w:t>
      </w:r>
      <w:r w:rsidR="008A74A2">
        <w:rPr>
          <w:rFonts w:ascii="Open Sans" w:hAnsi="Open Sans" w:cs="Open Sans"/>
          <w:b/>
          <w:color w:val="403000" w:themeColor="accent4" w:themeShade="40"/>
          <w:szCs w:val="18"/>
          <w:lang w:val="nl-NL"/>
        </w:rPr>
        <w:t>8</w:t>
      </w:r>
      <w:r w:rsidRPr="00894BF8">
        <w:rPr>
          <w:rFonts w:ascii="Open Sans" w:hAnsi="Open Sans" w:cs="Open Sans"/>
          <w:b/>
          <w:color w:val="403000" w:themeColor="accent4" w:themeShade="40"/>
          <w:szCs w:val="18"/>
          <w:lang w:val="nl-NL"/>
        </w:rPr>
        <w:t>: Datalekken</w:t>
      </w:r>
    </w:p>
    <w:p w14:paraId="14DBA789" w14:textId="77777777" w:rsidR="00F21189" w:rsidRPr="00894BF8" w:rsidRDefault="00F21189" w:rsidP="00F21189">
      <w:pPr>
        <w:pStyle w:val="ListParagraph"/>
        <w:numPr>
          <w:ilvl w:val="0"/>
          <w:numId w:val="35"/>
        </w:numPr>
        <w:spacing w:beforeLines="40" w:before="96" w:afterLines="20" w:after="48"/>
        <w:ind w:right="-144"/>
        <w:rPr>
          <w:rFonts w:ascii="Open Sans" w:eastAsiaTheme="minorEastAsia" w:hAnsi="Open Sans" w:cs="Open Sans"/>
          <w:color w:val="403000" w:themeColor="accent4" w:themeShade="40"/>
          <w:szCs w:val="18"/>
          <w:lang w:val="nl-NL" w:eastAsia="en-US"/>
        </w:rPr>
      </w:pPr>
      <w:r w:rsidRPr="00894BF8">
        <w:rPr>
          <w:rFonts w:ascii="Open Sans" w:eastAsiaTheme="minorEastAsia" w:hAnsi="Open Sans" w:cs="Open Sans"/>
          <w:color w:val="403000" w:themeColor="accent4" w:themeShade="40"/>
          <w:szCs w:val="18"/>
          <w:lang w:val="nl-NL" w:eastAsia="en-US"/>
        </w:rPr>
        <w:t xml:space="preserve">Partijen hebben een passend beleid voor de omgang met Datalekken. </w:t>
      </w:r>
    </w:p>
    <w:p w14:paraId="49B6E678" w14:textId="77777777" w:rsidR="00F21189" w:rsidRPr="00894BF8" w:rsidRDefault="00F21189" w:rsidP="00F21189">
      <w:pPr>
        <w:pStyle w:val="NoSpacing"/>
        <w:numPr>
          <w:ilvl w:val="0"/>
          <w:numId w:val="35"/>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Indien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of Verwerker een Datalek vaststelt, dan zal deze de andere Partij daarover </w:t>
      </w:r>
      <w:r w:rsidRPr="00894BF8">
        <w:rPr>
          <w:rFonts w:ascii="Open Sans" w:hAnsi="Open Sans" w:cs="Open Sans"/>
          <w:i/>
          <w:color w:val="403000" w:themeColor="accent4" w:themeShade="40"/>
          <w:szCs w:val="18"/>
          <w:lang w:val="nl-NL"/>
        </w:rPr>
        <w:t>zonder onredelijke vertraging</w:t>
      </w:r>
      <w:r w:rsidRPr="00894BF8">
        <w:rPr>
          <w:rFonts w:ascii="Open Sans" w:hAnsi="Open Sans" w:cs="Open Sans"/>
          <w:color w:val="403000" w:themeColor="accent4" w:themeShade="40"/>
          <w:szCs w:val="18"/>
          <w:lang w:val="nl-NL"/>
        </w:rPr>
        <w:t xml:space="preserve"> informeren zodra hij kennis heeft genomen van dat Datalek. Verwerker verstrekt ingeval van een Datalek alle relevante informatie aan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met betrekking tot het Datalek, waaronder informatie over eventuele ontwikkelingen rond het Datalek, en de maatregelen die de Verwerker treft om aan zijn kant de gevolgen van het Datalek te beperken en herhaling te voorkomen. </w:t>
      </w:r>
    </w:p>
    <w:p w14:paraId="08B4702D" w14:textId="77777777" w:rsidR="00F21189" w:rsidRPr="00894BF8" w:rsidRDefault="00F21189" w:rsidP="00F21189">
      <w:pPr>
        <w:pStyle w:val="NoSpacing"/>
        <w:numPr>
          <w:ilvl w:val="0"/>
          <w:numId w:val="35"/>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Verwerker informeert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w:t>
      </w:r>
      <w:r w:rsidRPr="00894BF8">
        <w:rPr>
          <w:rFonts w:ascii="Open Sans" w:hAnsi="Open Sans" w:cs="Open Sans"/>
          <w:i/>
          <w:color w:val="403000" w:themeColor="accent4" w:themeShade="40"/>
          <w:szCs w:val="18"/>
          <w:lang w:val="nl-NL"/>
        </w:rPr>
        <w:t>onverwijld</w:t>
      </w:r>
      <w:r w:rsidRPr="00894BF8">
        <w:rPr>
          <w:rFonts w:ascii="Open Sans" w:hAnsi="Open Sans" w:cs="Open Sans"/>
          <w:color w:val="403000" w:themeColor="accent4" w:themeShade="40"/>
          <w:szCs w:val="18"/>
          <w:lang w:val="nl-NL"/>
        </w:rPr>
        <w:t xml:space="preserve"> indien een vermoeden bestaat dat een Datalek waarschijnlijk een hoog risico inhoudt voor de rechten en vrijheden van natuurlijke personen zoals bedoeld in artikel 34,lid 1, AVG.</w:t>
      </w:r>
    </w:p>
    <w:p w14:paraId="0D401504" w14:textId="77777777" w:rsidR="00F21189" w:rsidRPr="00894BF8" w:rsidRDefault="00F21189" w:rsidP="00F21189">
      <w:pPr>
        <w:pStyle w:val="NoSpacing"/>
        <w:numPr>
          <w:ilvl w:val="0"/>
          <w:numId w:val="35"/>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Verwerker stelt bij een Datalek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in staat om passende vervolgstappen te (laten) nemen ten aanzien van het Datalek. Verwerker dient hierbij aansluiting te zoeken </w:t>
      </w:r>
      <w:r w:rsidRPr="00894BF8">
        <w:rPr>
          <w:rFonts w:ascii="Open Sans" w:hAnsi="Open Sans" w:cs="Open Sans"/>
          <w:color w:val="403000" w:themeColor="accent4" w:themeShade="40"/>
          <w:szCs w:val="18"/>
          <w:lang w:val="nl-NL"/>
        </w:rPr>
        <w:lastRenderedPageBreak/>
        <w:t xml:space="preserve">bij de bestaande processen die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daartoe heeft ingericht. Partijen nemen zo spoedig mogelijk alle redelijkerwijs benodigde maatregelen om (verdere) schending of inbreuken betreffende de Verwerking de Persoonsgegevens, en meer in het bijzonder (verdere) schending van de Toepasselijke wet- en regelgeving betreffende de Verwerking van Persoonsgegevens, te voorkomen of te beperken.</w:t>
      </w:r>
    </w:p>
    <w:p w14:paraId="6E72E370" w14:textId="77777777" w:rsidR="00F21189" w:rsidRPr="00894BF8" w:rsidRDefault="00F21189" w:rsidP="00F21189">
      <w:pPr>
        <w:pStyle w:val="NoSpacing"/>
        <w:numPr>
          <w:ilvl w:val="0"/>
          <w:numId w:val="35"/>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In geval van een Datalek, voldoet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aan eventuele wettelijke meldingsplichten. </w:t>
      </w:r>
    </w:p>
    <w:p w14:paraId="488C273D" w14:textId="77777777" w:rsidR="00F21189" w:rsidRPr="00894BF8" w:rsidRDefault="00F21189" w:rsidP="00F21189">
      <w:pPr>
        <w:pStyle w:val="NoSpacing"/>
        <w:numPr>
          <w:ilvl w:val="0"/>
          <w:numId w:val="35"/>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In geval van het Datalek waarschijnlijk een hoog risico inhoudt voor de rechten en vrijheden van natuurlijke personen, zal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de Betrokkenen informeren over het Datalek. </w:t>
      </w:r>
    </w:p>
    <w:p w14:paraId="43CA2A33" w14:textId="77777777" w:rsidR="00F21189" w:rsidRPr="00894BF8" w:rsidRDefault="00F21189" w:rsidP="00F21189">
      <w:pPr>
        <w:pStyle w:val="NoSpacing"/>
        <w:numPr>
          <w:ilvl w:val="0"/>
          <w:numId w:val="35"/>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Partijen zullen te goeder trouw in onderling overleg afspraken maken over de redelijke verdeling van de eventuele kosten die verbonden zijn aan het voldoen aan de meldingsplichten.</w:t>
      </w:r>
    </w:p>
    <w:p w14:paraId="3DC1B49A" w14:textId="77777777" w:rsidR="00F21189" w:rsidRPr="00894BF8" w:rsidRDefault="00F21189" w:rsidP="00F21189">
      <w:pPr>
        <w:pStyle w:val="NoSpacing"/>
        <w:numPr>
          <w:ilvl w:val="0"/>
          <w:numId w:val="35"/>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Partijen documenteren alle Datalekken in een (incidenten)register, met inbegrip van de feiten omtrent de inbreuk in verband met persoonsgegevens, de gevolgen daarvan en de genomen corrigerende maatregelen.</w:t>
      </w:r>
    </w:p>
    <w:p w14:paraId="4B3A5C20" w14:textId="77777777" w:rsidR="00F21189" w:rsidRPr="00894BF8" w:rsidRDefault="00F21189" w:rsidP="00F21189">
      <w:pPr>
        <w:pStyle w:val="NoSpacing"/>
        <w:numPr>
          <w:ilvl w:val="0"/>
          <w:numId w:val="35"/>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Over incidenten met betrekking tot de beveiliging, anders dan een Datalek, die vallen buiten het bereik van artikel 1 sub e van deze Verwerkersovereenkomst, informeert de Verwerker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conform de afspraken zoals neergelegd in Bijlage 2. </w:t>
      </w:r>
    </w:p>
    <w:p w14:paraId="18ED0BD9" w14:textId="77777777" w:rsidR="00F21189" w:rsidRPr="00894BF8" w:rsidRDefault="00F21189" w:rsidP="00F21189">
      <w:pPr>
        <w:spacing w:beforeLines="40" w:before="96" w:afterLines="20" w:after="48" w:line="240" w:lineRule="auto"/>
        <w:ind w:right="-144"/>
        <w:rPr>
          <w:rFonts w:ascii="Open Sans" w:hAnsi="Open Sans" w:cs="Open Sans"/>
          <w:b/>
          <w:color w:val="403000" w:themeColor="accent4" w:themeShade="40"/>
          <w:szCs w:val="18"/>
          <w:lang w:val="nl-NL"/>
        </w:rPr>
      </w:pPr>
    </w:p>
    <w:p w14:paraId="58EC3D9A" w14:textId="1FCD6091" w:rsidR="00F21189" w:rsidRPr="00894BF8" w:rsidRDefault="00F21189" w:rsidP="00F21189">
      <w:pPr>
        <w:spacing w:beforeLines="40" w:before="96" w:afterLines="20" w:after="48" w:line="240" w:lineRule="auto"/>
        <w:ind w:right="-144"/>
        <w:outlineLvl w:val="0"/>
        <w:rPr>
          <w:rFonts w:ascii="Open Sans" w:hAnsi="Open Sans" w:cs="Open Sans"/>
          <w:color w:val="403000" w:themeColor="accent4" w:themeShade="40"/>
          <w:szCs w:val="18"/>
          <w:lang w:val="nl-NL"/>
        </w:rPr>
      </w:pPr>
      <w:r w:rsidRPr="00894BF8">
        <w:rPr>
          <w:rFonts w:ascii="Open Sans" w:hAnsi="Open Sans" w:cs="Open Sans"/>
          <w:b/>
          <w:color w:val="403000" w:themeColor="accent4" w:themeShade="40"/>
          <w:szCs w:val="18"/>
          <w:lang w:val="nl-NL"/>
        </w:rPr>
        <w:t xml:space="preserve">Artikel </w:t>
      </w:r>
      <w:r w:rsidR="008A74A2">
        <w:rPr>
          <w:rFonts w:ascii="Open Sans" w:hAnsi="Open Sans" w:cs="Open Sans"/>
          <w:b/>
          <w:color w:val="403000" w:themeColor="accent4" w:themeShade="40"/>
          <w:szCs w:val="18"/>
          <w:lang w:val="nl-NL"/>
        </w:rPr>
        <w:t>9</w:t>
      </w:r>
      <w:r>
        <w:rPr>
          <w:rFonts w:ascii="Open Sans" w:hAnsi="Open Sans" w:cs="Open Sans"/>
          <w:b/>
          <w:color w:val="403000" w:themeColor="accent4" w:themeShade="40"/>
          <w:szCs w:val="18"/>
          <w:lang w:val="nl-NL"/>
        </w:rPr>
        <w:t>:</w:t>
      </w:r>
      <w:r w:rsidRPr="00894BF8">
        <w:rPr>
          <w:rFonts w:ascii="Open Sans" w:hAnsi="Open Sans" w:cs="Open Sans"/>
          <w:b/>
          <w:color w:val="403000" w:themeColor="accent4" w:themeShade="40"/>
          <w:szCs w:val="18"/>
          <w:lang w:val="nl-NL"/>
        </w:rPr>
        <w:t xml:space="preserve"> Bijstand</w:t>
      </w:r>
    </w:p>
    <w:p w14:paraId="7A041881" w14:textId="77777777" w:rsidR="00F21189" w:rsidRPr="00894BF8" w:rsidRDefault="00F21189" w:rsidP="00F21189">
      <w:pPr>
        <w:pStyle w:val="ListParagraph"/>
        <w:numPr>
          <w:ilvl w:val="0"/>
          <w:numId w:val="44"/>
        </w:numPr>
        <w:spacing w:beforeLines="40" w:before="96" w:afterLines="20" w:after="48"/>
        <w:ind w:right="-144"/>
        <w:rPr>
          <w:rFonts w:ascii="Open Sans" w:eastAsiaTheme="minorEastAsia" w:hAnsi="Open Sans" w:cs="Open Sans"/>
          <w:color w:val="403000" w:themeColor="accent4" w:themeShade="40"/>
          <w:szCs w:val="18"/>
          <w:lang w:val="nl-NL" w:eastAsia="en-US"/>
        </w:rPr>
      </w:pPr>
      <w:r w:rsidRPr="00894BF8">
        <w:rPr>
          <w:rFonts w:ascii="Open Sans" w:eastAsiaTheme="minorEastAsia" w:hAnsi="Open Sans" w:cs="Open Sans"/>
          <w:color w:val="403000" w:themeColor="accent4" w:themeShade="40"/>
          <w:szCs w:val="18"/>
          <w:lang w:val="nl-NL" w:eastAsia="en-US"/>
        </w:rPr>
        <w:t xml:space="preserve">Verwerker verleent </w:t>
      </w:r>
      <w:r>
        <w:rPr>
          <w:rFonts w:ascii="Open Sans" w:eastAsiaTheme="minorEastAsia" w:hAnsi="Open Sans" w:cs="Open Sans"/>
          <w:color w:val="403000" w:themeColor="accent4" w:themeShade="40"/>
          <w:szCs w:val="18"/>
          <w:lang w:val="nl-NL" w:eastAsia="en-US"/>
        </w:rPr>
        <w:t>Verantwoordelijke</w:t>
      </w:r>
      <w:r w:rsidRPr="00894BF8">
        <w:rPr>
          <w:rFonts w:ascii="Open Sans" w:eastAsiaTheme="minorEastAsia" w:hAnsi="Open Sans" w:cs="Open Sans"/>
          <w:color w:val="403000" w:themeColor="accent4" w:themeShade="40"/>
          <w:szCs w:val="18"/>
          <w:lang w:val="nl-NL" w:eastAsia="en-US"/>
        </w:rPr>
        <w:t xml:space="preserve"> bijstand bij het doen nakomen van de op </w:t>
      </w:r>
      <w:r>
        <w:rPr>
          <w:rFonts w:ascii="Open Sans" w:eastAsiaTheme="minorEastAsia" w:hAnsi="Open Sans" w:cs="Open Sans"/>
          <w:color w:val="403000" w:themeColor="accent4" w:themeShade="40"/>
          <w:szCs w:val="18"/>
          <w:lang w:val="nl-NL" w:eastAsia="en-US"/>
        </w:rPr>
        <w:t>Verantwoordelijke</w:t>
      </w:r>
      <w:r w:rsidRPr="00894BF8">
        <w:rPr>
          <w:rFonts w:ascii="Open Sans" w:eastAsiaTheme="minorEastAsia" w:hAnsi="Open Sans" w:cs="Open Sans"/>
          <w:color w:val="403000" w:themeColor="accent4" w:themeShade="40"/>
          <w:szCs w:val="18"/>
          <w:lang w:val="nl-NL" w:eastAsia="en-US"/>
        </w:rPr>
        <w:t xml:space="preserve"> rustende verplichtingen op grond van de AVG en andere Toepasselijke wet- en regelgeving betreffende de Verwerking van Persoons</w:t>
      </w:r>
      <w:r>
        <w:rPr>
          <w:rFonts w:ascii="Open Sans" w:eastAsiaTheme="minorEastAsia" w:hAnsi="Open Sans" w:cs="Open Sans"/>
          <w:color w:val="403000" w:themeColor="accent4" w:themeShade="40"/>
          <w:szCs w:val="18"/>
          <w:lang w:val="nl-NL" w:eastAsia="en-US"/>
        </w:rPr>
        <w:t>gegevens, zoals met betrekking - maar niet beperkt -</w:t>
      </w:r>
      <w:r w:rsidRPr="00894BF8">
        <w:rPr>
          <w:rFonts w:ascii="Open Sans" w:eastAsiaTheme="minorEastAsia" w:hAnsi="Open Sans" w:cs="Open Sans"/>
          <w:color w:val="403000" w:themeColor="accent4" w:themeShade="40"/>
          <w:szCs w:val="18"/>
          <w:lang w:val="nl-NL" w:eastAsia="en-US"/>
        </w:rPr>
        <w:t xml:space="preserve"> tot:</w:t>
      </w:r>
    </w:p>
    <w:p w14:paraId="0A2D0BB8" w14:textId="77777777" w:rsidR="00F21189" w:rsidRPr="00894BF8" w:rsidRDefault="00F21189" w:rsidP="00F21189">
      <w:pPr>
        <w:pStyle w:val="ListParagraph"/>
        <w:numPr>
          <w:ilvl w:val="1"/>
          <w:numId w:val="44"/>
        </w:numPr>
        <w:spacing w:beforeLines="40" w:before="96" w:afterLines="20" w:after="48"/>
        <w:ind w:right="-144"/>
        <w:rPr>
          <w:rFonts w:ascii="Open Sans" w:hAnsi="Open Sans" w:cs="Open Sans"/>
          <w:color w:val="403000" w:themeColor="accent4" w:themeShade="40"/>
          <w:szCs w:val="18"/>
          <w:lang w:val="nl-NL"/>
        </w:rPr>
      </w:pPr>
      <w:r>
        <w:rPr>
          <w:rFonts w:ascii="Open Sans" w:eastAsiaTheme="minorEastAsia" w:hAnsi="Open Sans" w:cs="Open Sans"/>
          <w:color w:val="403000" w:themeColor="accent4" w:themeShade="40"/>
          <w:szCs w:val="18"/>
          <w:lang w:val="nl-NL" w:eastAsia="en-US"/>
        </w:rPr>
        <w:t>het -</w:t>
      </w:r>
      <w:r w:rsidRPr="00894BF8">
        <w:rPr>
          <w:rFonts w:ascii="Open Sans" w:eastAsiaTheme="minorEastAsia" w:hAnsi="Open Sans" w:cs="Open Sans"/>
          <w:color w:val="403000" w:themeColor="accent4" w:themeShade="40"/>
          <w:szCs w:val="18"/>
          <w:lang w:val="nl-NL" w:eastAsia="en-US"/>
        </w:rPr>
        <w:t xml:space="preserve"> voor zover redelijkerwijs mogelijk - vervullen van de plicht van</w:t>
      </w:r>
      <w:r w:rsidRPr="00894BF8">
        <w:rPr>
          <w:rFonts w:ascii="Open Sans" w:hAnsi="Open Sans" w:cs="Open Sans"/>
          <w:color w:val="403000" w:themeColor="accent4" w:themeShade="40"/>
          <w:szCs w:val="18"/>
          <w:lang w:val="nl-NL"/>
        </w:rPr>
        <w:t xml:space="preserv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om aan verzoeken van de in hoofdstuk III van de AVG vastgelegde rechten van de betrokkene binnen de wettelijke termijnen te voldoen, zoals een verzoek om inzage, verbetering, aanvulling, verwijdering of afscherming van Persoonsgegevens;</w:t>
      </w:r>
    </w:p>
    <w:p w14:paraId="7D27593F" w14:textId="122540B1" w:rsidR="00F21189" w:rsidRPr="00894BF8" w:rsidRDefault="00F21189" w:rsidP="00F21189">
      <w:pPr>
        <w:pStyle w:val="ListParagraph"/>
        <w:numPr>
          <w:ilvl w:val="1"/>
          <w:numId w:val="44"/>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het uitvoeren van </w:t>
      </w:r>
      <w:r>
        <w:rPr>
          <w:rFonts w:ascii="Open Sans" w:hAnsi="Open Sans" w:cs="Open Sans"/>
          <w:color w:val="403000" w:themeColor="accent4" w:themeShade="40"/>
          <w:szCs w:val="18"/>
          <w:lang w:val="nl-NL"/>
        </w:rPr>
        <w:t>toezicht</w:t>
      </w:r>
      <w:r w:rsidRPr="00894BF8">
        <w:rPr>
          <w:rFonts w:ascii="Open Sans" w:hAnsi="Open Sans" w:cs="Open Sans"/>
          <w:color w:val="403000" w:themeColor="accent4" w:themeShade="40"/>
          <w:szCs w:val="18"/>
          <w:lang w:val="nl-NL"/>
        </w:rPr>
        <w:t xml:space="preserve"> en audits zoals bedoeld in artikel </w:t>
      </w:r>
      <w:r w:rsidR="008A74A2">
        <w:rPr>
          <w:rFonts w:ascii="Open Sans" w:hAnsi="Open Sans" w:cs="Open Sans"/>
          <w:color w:val="403000" w:themeColor="accent4" w:themeShade="40"/>
          <w:szCs w:val="18"/>
          <w:lang w:val="nl-NL"/>
        </w:rPr>
        <w:t>7</w:t>
      </w:r>
      <w:r w:rsidRPr="00894BF8">
        <w:rPr>
          <w:rFonts w:ascii="Open Sans" w:hAnsi="Open Sans" w:cs="Open Sans"/>
          <w:color w:val="403000" w:themeColor="accent4" w:themeShade="40"/>
          <w:szCs w:val="18"/>
          <w:lang w:val="nl-NL"/>
        </w:rPr>
        <w:t xml:space="preserve"> van deze Verwerkersovereenkomst;</w:t>
      </w:r>
    </w:p>
    <w:p w14:paraId="6997CA0F" w14:textId="77777777" w:rsidR="00F21189" w:rsidRPr="00894BF8" w:rsidRDefault="00F21189" w:rsidP="00F21189">
      <w:pPr>
        <w:pStyle w:val="ListParagraph"/>
        <w:numPr>
          <w:ilvl w:val="1"/>
          <w:numId w:val="44"/>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het uitvoeren van een gegevensbeschermingseffectbeoordeling (DPIA) en een eventuele daaruit voortkomende verplichte voorafgaande raadpleging van de Autoriteit Persoonsgegevens;</w:t>
      </w:r>
    </w:p>
    <w:p w14:paraId="7F2F8B2B" w14:textId="77777777" w:rsidR="00F21189" w:rsidRPr="00894BF8" w:rsidRDefault="00F21189" w:rsidP="00F21189">
      <w:pPr>
        <w:pStyle w:val="ListParagraph"/>
        <w:numPr>
          <w:ilvl w:val="1"/>
          <w:numId w:val="44"/>
        </w:numPr>
        <w:spacing w:beforeLines="40" w:before="96" w:afterLines="20" w:after="48"/>
        <w:ind w:right="-144"/>
        <w:rPr>
          <w:rFonts w:ascii="Open Sans" w:hAnsi="Open Sans" w:cs="Open Sans"/>
          <w:color w:val="403000" w:themeColor="accent4" w:themeShade="40"/>
          <w:szCs w:val="18"/>
          <w:lang w:val="nl-NL"/>
        </w:rPr>
      </w:pPr>
      <w:r>
        <w:rPr>
          <w:rFonts w:ascii="Open Sans" w:hAnsi="Open Sans" w:cs="Open Sans"/>
          <w:color w:val="403000" w:themeColor="accent4" w:themeShade="40"/>
          <w:szCs w:val="18"/>
          <w:lang w:val="nl-NL"/>
        </w:rPr>
        <w:t>h</w:t>
      </w:r>
      <w:r w:rsidRPr="00894BF8">
        <w:rPr>
          <w:rFonts w:ascii="Open Sans" w:hAnsi="Open Sans" w:cs="Open Sans"/>
          <w:color w:val="403000" w:themeColor="accent4" w:themeShade="40"/>
          <w:szCs w:val="18"/>
          <w:lang w:val="nl-NL"/>
        </w:rPr>
        <w:t>et voldoen aan verzoeken van de Autoriteit Persoonsgegevens of een andere overheidsinstantie;</w:t>
      </w:r>
    </w:p>
    <w:p w14:paraId="5DFAFC23" w14:textId="3667E279" w:rsidR="00F21189" w:rsidRPr="00894BF8" w:rsidRDefault="00F21189" w:rsidP="00F21189">
      <w:pPr>
        <w:pStyle w:val="ListParagraph"/>
        <w:numPr>
          <w:ilvl w:val="1"/>
          <w:numId w:val="44"/>
        </w:numPr>
        <w:spacing w:beforeLines="40" w:before="96" w:afterLines="20" w:after="48"/>
        <w:ind w:right="-144"/>
        <w:rPr>
          <w:rFonts w:ascii="Open Sans" w:hAnsi="Open Sans" w:cs="Open Sans"/>
          <w:color w:val="403000" w:themeColor="accent4" w:themeShade="40"/>
          <w:szCs w:val="18"/>
          <w:lang w:val="nl-NL"/>
        </w:rPr>
      </w:pPr>
      <w:r>
        <w:rPr>
          <w:rFonts w:ascii="Open Sans" w:hAnsi="Open Sans" w:cs="Open Sans"/>
          <w:color w:val="403000" w:themeColor="accent4" w:themeShade="40"/>
          <w:szCs w:val="18"/>
          <w:lang w:val="nl-NL"/>
        </w:rPr>
        <w:t>h</w:t>
      </w:r>
      <w:r w:rsidRPr="00894BF8">
        <w:rPr>
          <w:rFonts w:ascii="Open Sans" w:hAnsi="Open Sans" w:cs="Open Sans"/>
          <w:color w:val="403000" w:themeColor="accent4" w:themeShade="40"/>
          <w:szCs w:val="18"/>
          <w:lang w:val="nl-NL"/>
        </w:rPr>
        <w:t>et beoordelen</w:t>
      </w:r>
      <w:r>
        <w:rPr>
          <w:rFonts w:ascii="Open Sans" w:hAnsi="Open Sans" w:cs="Open Sans"/>
          <w:color w:val="403000" w:themeColor="accent4" w:themeShade="40"/>
          <w:szCs w:val="18"/>
          <w:lang w:val="nl-NL"/>
        </w:rPr>
        <w:t>, het voorbereiden van een melding</w:t>
      </w:r>
      <w:r w:rsidRPr="00894BF8">
        <w:rPr>
          <w:rFonts w:ascii="Open Sans" w:hAnsi="Open Sans" w:cs="Open Sans"/>
          <w:color w:val="403000" w:themeColor="accent4" w:themeShade="40"/>
          <w:szCs w:val="18"/>
          <w:lang w:val="nl-NL"/>
        </w:rPr>
        <w:t xml:space="preserve"> en </w:t>
      </w:r>
      <w:r>
        <w:rPr>
          <w:rFonts w:ascii="Open Sans" w:hAnsi="Open Sans" w:cs="Open Sans"/>
          <w:color w:val="403000" w:themeColor="accent4" w:themeShade="40"/>
          <w:szCs w:val="18"/>
          <w:lang w:val="nl-NL"/>
        </w:rPr>
        <w:t xml:space="preserve">het </w:t>
      </w:r>
      <w:r w:rsidRPr="00894BF8">
        <w:rPr>
          <w:rFonts w:ascii="Open Sans" w:hAnsi="Open Sans" w:cs="Open Sans"/>
          <w:color w:val="403000" w:themeColor="accent4" w:themeShade="40"/>
          <w:szCs w:val="18"/>
          <w:lang w:val="nl-NL"/>
        </w:rPr>
        <w:t xml:space="preserve">melden van datalekken zoals bedoeld in artikel </w:t>
      </w:r>
      <w:r w:rsidR="008A74A2">
        <w:rPr>
          <w:rFonts w:ascii="Open Sans" w:hAnsi="Open Sans" w:cs="Open Sans"/>
          <w:color w:val="403000" w:themeColor="accent4" w:themeShade="40"/>
          <w:szCs w:val="18"/>
          <w:lang w:val="nl-NL"/>
        </w:rPr>
        <w:t>8</w:t>
      </w:r>
      <w:r w:rsidRPr="00894BF8">
        <w:rPr>
          <w:rFonts w:ascii="Open Sans" w:hAnsi="Open Sans" w:cs="Open Sans"/>
          <w:color w:val="403000" w:themeColor="accent4" w:themeShade="40"/>
          <w:szCs w:val="18"/>
          <w:lang w:val="nl-NL"/>
        </w:rPr>
        <w:t xml:space="preserve"> van deze Verwerkersovereenkomst. </w:t>
      </w:r>
    </w:p>
    <w:p w14:paraId="00A7ACF3" w14:textId="77777777" w:rsidR="00F21189" w:rsidRPr="00894BF8" w:rsidRDefault="00F21189" w:rsidP="00F21189">
      <w:pPr>
        <w:pStyle w:val="NoSpacing"/>
        <w:numPr>
          <w:ilvl w:val="0"/>
          <w:numId w:val="44"/>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Een klacht of verzoek van een Betrokkene of een verzoek of onderzoek van de Autoriteit Persoonsgegevens met betrekking tot de Verwerking van de Persoonsgegevens, wordt door de Verwerker, voor zover wettelijk is toegestaan, onverwijld doorgestuurd naar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die verantwoordelijk is voor de afhandeling van het verzoek.</w:t>
      </w:r>
    </w:p>
    <w:p w14:paraId="3BA29EC6" w14:textId="77777777" w:rsidR="00F21189" w:rsidRPr="00894BF8" w:rsidRDefault="00F21189" w:rsidP="00F21189">
      <w:pPr>
        <w:pStyle w:val="NoSpacing"/>
        <w:numPr>
          <w:ilvl w:val="0"/>
          <w:numId w:val="44"/>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Partijen brengen elkaar voor in redelijkheid verleende bijstand geen kosten in rekening. In het geval dat één van de Partijen kosten in rekening wil brengen, brengt deze partij de andere partij hiervan vooraf op de hoogte.</w:t>
      </w:r>
    </w:p>
    <w:p w14:paraId="68B1EA1F" w14:textId="77777777" w:rsidR="00F21189" w:rsidRPr="00894BF8" w:rsidRDefault="00F21189" w:rsidP="00F21189">
      <w:pPr>
        <w:spacing w:beforeLines="40" w:before="96" w:afterLines="20" w:after="48" w:line="240" w:lineRule="auto"/>
        <w:ind w:right="-144"/>
        <w:rPr>
          <w:rFonts w:ascii="Open Sans" w:hAnsi="Open Sans" w:cs="Open Sans"/>
          <w:color w:val="403000" w:themeColor="accent4" w:themeShade="40"/>
          <w:szCs w:val="18"/>
          <w:lang w:val="nl-NL"/>
        </w:rPr>
      </w:pPr>
    </w:p>
    <w:p w14:paraId="0C6F848D" w14:textId="547AA554" w:rsidR="00F21189" w:rsidRPr="00894BF8" w:rsidRDefault="00F21189" w:rsidP="00F21189">
      <w:pPr>
        <w:spacing w:beforeLines="40" w:before="96" w:afterLines="20" w:after="48" w:line="240" w:lineRule="auto"/>
        <w:ind w:right="-144"/>
        <w:outlineLvl w:val="0"/>
        <w:rPr>
          <w:rFonts w:ascii="Open Sans" w:hAnsi="Open Sans" w:cs="Open Sans"/>
          <w:b/>
          <w:color w:val="403000" w:themeColor="accent4" w:themeShade="40"/>
          <w:szCs w:val="18"/>
          <w:lang w:val="nl-NL"/>
        </w:rPr>
      </w:pPr>
      <w:r w:rsidRPr="00894BF8">
        <w:rPr>
          <w:rFonts w:ascii="Open Sans" w:hAnsi="Open Sans" w:cs="Open Sans"/>
          <w:b/>
          <w:color w:val="403000" w:themeColor="accent4" w:themeShade="40"/>
          <w:szCs w:val="18"/>
          <w:lang w:val="nl-NL"/>
        </w:rPr>
        <w:t xml:space="preserve">Artikel </w:t>
      </w:r>
      <w:r w:rsidR="008A74A2">
        <w:rPr>
          <w:rFonts w:ascii="Open Sans" w:hAnsi="Open Sans" w:cs="Open Sans"/>
          <w:b/>
          <w:color w:val="403000" w:themeColor="accent4" w:themeShade="40"/>
          <w:szCs w:val="18"/>
          <w:lang w:val="nl-NL"/>
        </w:rPr>
        <w:t>10</w:t>
      </w:r>
      <w:r w:rsidRPr="00894BF8">
        <w:rPr>
          <w:rFonts w:ascii="Open Sans" w:hAnsi="Open Sans" w:cs="Open Sans"/>
          <w:b/>
          <w:color w:val="403000" w:themeColor="accent4" w:themeShade="40"/>
          <w:szCs w:val="18"/>
          <w:lang w:val="nl-NL"/>
        </w:rPr>
        <w:t xml:space="preserve">: Doorgifte aan derde landen buiten de Europese Economische Ruimte </w:t>
      </w:r>
    </w:p>
    <w:p w14:paraId="2D3CCE2B" w14:textId="77777777" w:rsidR="00F21189" w:rsidRPr="00894BF8" w:rsidRDefault="00F21189" w:rsidP="00F21189">
      <w:pPr>
        <w:pStyle w:val="NoSpacing"/>
        <w:numPr>
          <w:ilvl w:val="0"/>
          <w:numId w:val="40"/>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Verwerker is uitsluitend gerechtigd tot doorgifte van Persoonsgegevens aan een derde land</w:t>
      </w:r>
      <w:r>
        <w:rPr>
          <w:rFonts w:ascii="Open Sans" w:hAnsi="Open Sans" w:cs="Open Sans"/>
          <w:color w:val="403000" w:themeColor="accent4" w:themeShade="40"/>
          <w:szCs w:val="18"/>
          <w:lang w:val="nl-NL"/>
        </w:rPr>
        <w:t xml:space="preserve"> buiten de Europese Economische Ruimte</w:t>
      </w:r>
      <w:r w:rsidRPr="00894BF8">
        <w:rPr>
          <w:rFonts w:ascii="Open Sans" w:hAnsi="Open Sans" w:cs="Open Sans"/>
          <w:color w:val="403000" w:themeColor="accent4" w:themeShade="40"/>
          <w:szCs w:val="18"/>
          <w:lang w:val="nl-NL"/>
        </w:rPr>
        <w:t xml:space="preserve"> of internationale organisatie indien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daarvoor specifieke Schriftelijke toestemming heeft gegeven, tenzij een op Verwerker van toepassing zijnde Unierechtelijke of lidstaatrechtelijke bepaling Verwerker tot Verwerking verplicht. In dat geval stelt Verwerker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voorafgaand aan de Verwerking Schriftelijk op de hoogte van deze bepaling, tenzij die wetgeving deze kennisgeving om gewichtige redenen van algemeen belang verbiedt.</w:t>
      </w:r>
    </w:p>
    <w:p w14:paraId="10BE2343" w14:textId="77777777" w:rsidR="00F21189" w:rsidRPr="00894BF8" w:rsidRDefault="00F21189" w:rsidP="00F21189">
      <w:pPr>
        <w:pStyle w:val="NoSpacing"/>
        <w:numPr>
          <w:ilvl w:val="0"/>
          <w:numId w:val="40"/>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Indien na toestemming van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Persoonsgegevens worden doorgegeven aan derde landen buiten de Europese Economische Ruimte of aan een internationale organisatie zoals bedoeld in artikel 4 lid 26 AVG, dan zien Partijen er op toe dat dit alleen plaatsvindt conform wettelijke voorschriften en eventuele verplichtingen die in dit verband op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rusten. Indien gegevens worden doorgegeven aan een derde land of een internationale organisatie, dan wordt dit in Bijlage 1 bij deze Verwerkers</w:t>
      </w:r>
      <w:r>
        <w:rPr>
          <w:rFonts w:ascii="Open Sans" w:hAnsi="Open Sans" w:cs="Open Sans"/>
          <w:color w:val="403000" w:themeColor="accent4" w:themeShade="40"/>
          <w:szCs w:val="18"/>
          <w:lang w:val="nl-NL"/>
        </w:rPr>
        <w:t>-</w:t>
      </w:r>
      <w:r w:rsidRPr="00894BF8">
        <w:rPr>
          <w:rFonts w:ascii="Open Sans" w:hAnsi="Open Sans" w:cs="Open Sans"/>
          <w:color w:val="403000" w:themeColor="accent4" w:themeShade="40"/>
          <w:szCs w:val="18"/>
          <w:lang w:val="nl-NL"/>
        </w:rPr>
        <w:t>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14:paraId="695B7A6F" w14:textId="77777777" w:rsidR="00F21189" w:rsidRPr="00894BF8" w:rsidRDefault="00F21189" w:rsidP="00F21189">
      <w:pPr>
        <w:spacing w:beforeLines="40" w:before="96" w:afterLines="20" w:after="48" w:line="240" w:lineRule="auto"/>
        <w:ind w:right="-144"/>
        <w:rPr>
          <w:rFonts w:ascii="Open Sans" w:hAnsi="Open Sans" w:cs="Open Sans"/>
          <w:b/>
          <w:color w:val="403000" w:themeColor="accent4" w:themeShade="40"/>
          <w:szCs w:val="18"/>
          <w:lang w:val="nl-NL"/>
        </w:rPr>
      </w:pPr>
    </w:p>
    <w:p w14:paraId="7574DDE5" w14:textId="4E422C38" w:rsidR="00F21189" w:rsidRPr="00894BF8" w:rsidRDefault="00F21189" w:rsidP="00F21189">
      <w:pPr>
        <w:spacing w:beforeLines="40" w:before="96" w:afterLines="20" w:after="48" w:line="240" w:lineRule="auto"/>
        <w:ind w:right="-144"/>
        <w:outlineLvl w:val="0"/>
        <w:rPr>
          <w:rFonts w:ascii="Open Sans" w:hAnsi="Open Sans" w:cs="Open Sans"/>
          <w:b/>
          <w:color w:val="403000" w:themeColor="accent4" w:themeShade="40"/>
          <w:szCs w:val="18"/>
          <w:lang w:val="nl-NL"/>
        </w:rPr>
      </w:pPr>
      <w:r w:rsidRPr="00894BF8">
        <w:rPr>
          <w:rFonts w:ascii="Open Sans" w:hAnsi="Open Sans" w:cs="Open Sans"/>
          <w:b/>
          <w:color w:val="403000" w:themeColor="accent4" w:themeShade="40"/>
          <w:szCs w:val="18"/>
          <w:lang w:val="nl-NL"/>
        </w:rPr>
        <w:t>Artikel 1</w:t>
      </w:r>
      <w:r w:rsidR="008A74A2">
        <w:rPr>
          <w:rFonts w:ascii="Open Sans" w:hAnsi="Open Sans" w:cs="Open Sans"/>
          <w:b/>
          <w:color w:val="403000" w:themeColor="accent4" w:themeShade="40"/>
          <w:szCs w:val="18"/>
          <w:lang w:val="nl-NL"/>
        </w:rPr>
        <w:t>1</w:t>
      </w:r>
      <w:r w:rsidRPr="00894BF8">
        <w:rPr>
          <w:rFonts w:ascii="Open Sans" w:hAnsi="Open Sans" w:cs="Open Sans"/>
          <w:b/>
          <w:color w:val="403000" w:themeColor="accent4" w:themeShade="40"/>
          <w:szCs w:val="18"/>
          <w:lang w:val="nl-NL"/>
        </w:rPr>
        <w:t>: Inschakeling Subverwerker</w:t>
      </w:r>
    </w:p>
    <w:p w14:paraId="1F7197C6" w14:textId="77777777" w:rsidR="00F21189" w:rsidRPr="00894BF8" w:rsidRDefault="00F21189" w:rsidP="00F21189">
      <w:pPr>
        <w:pStyle w:val="NoSpacing"/>
        <w:numPr>
          <w:ilvl w:val="0"/>
          <w:numId w:val="39"/>
        </w:numPr>
        <w:spacing w:beforeLines="40" w:before="96" w:afterLines="20" w:after="48"/>
        <w:ind w:right="-144"/>
        <w:rPr>
          <w:rFonts w:ascii="Open Sans" w:hAnsi="Open Sans" w:cs="Open Sans"/>
          <w:color w:val="403000" w:themeColor="accent4" w:themeShade="40"/>
          <w:szCs w:val="18"/>
          <w:lang w:val="nl-NL"/>
        </w:rPr>
      </w:pP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geeft Verwerker door ondertekening van deze Verwerkers</w:t>
      </w:r>
      <w:r>
        <w:rPr>
          <w:rFonts w:ascii="Open Sans" w:hAnsi="Open Sans" w:cs="Open Sans"/>
          <w:color w:val="403000" w:themeColor="accent4" w:themeShade="40"/>
          <w:szCs w:val="18"/>
          <w:lang w:val="nl-NL"/>
        </w:rPr>
        <w:t>-</w:t>
      </w:r>
      <w:r w:rsidRPr="00894BF8">
        <w:rPr>
          <w:rFonts w:ascii="Open Sans" w:hAnsi="Open Sans" w:cs="Open Sans"/>
          <w:color w:val="403000" w:themeColor="accent4" w:themeShade="40"/>
          <w:szCs w:val="18"/>
          <w:lang w:val="nl-NL"/>
        </w:rPr>
        <w:t xml:space="preserve">overeenkomst toestemming tot het inschakelen van Subverwerkers, van wie de identiteit en vestigingsgegevens zijn opgenomen in de Privacybijsluiter. </w:t>
      </w:r>
    </w:p>
    <w:p w14:paraId="5CD51064" w14:textId="77777777" w:rsidR="008A74A2" w:rsidRDefault="00F21189" w:rsidP="008A74A2">
      <w:pPr>
        <w:pStyle w:val="NoSpacing"/>
        <w:numPr>
          <w:ilvl w:val="0"/>
          <w:numId w:val="39"/>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Tijdens de duur van de Verwerkersovereenkomst licht Verwerker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in over een voorgenomen toevoeging van een nieuwe Subverwerker of wijziging in de samenstelling van de bestaande Subverwerkers, waarbij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de mogelijkheid wordt geboden tegen deze veranderingen bezwaar te maken.</w:t>
      </w:r>
    </w:p>
    <w:p w14:paraId="6513DCD0" w14:textId="72FFDD2E" w:rsidR="00F21189" w:rsidRPr="008A74A2" w:rsidRDefault="00F21189" w:rsidP="008A74A2">
      <w:pPr>
        <w:pStyle w:val="NoSpacing"/>
        <w:numPr>
          <w:ilvl w:val="0"/>
          <w:numId w:val="39"/>
        </w:numPr>
        <w:spacing w:beforeLines="40" w:before="96" w:afterLines="20" w:after="48"/>
        <w:ind w:right="-144"/>
        <w:rPr>
          <w:rFonts w:ascii="Open Sans" w:hAnsi="Open Sans" w:cs="Open Sans"/>
          <w:color w:val="403000" w:themeColor="accent4" w:themeShade="40"/>
          <w:szCs w:val="18"/>
          <w:lang w:val="nl-NL"/>
        </w:rPr>
      </w:pPr>
      <w:r w:rsidRPr="008A74A2">
        <w:rPr>
          <w:rFonts w:ascii="Open Sans" w:hAnsi="Open Sans" w:cs="Open Sans"/>
          <w:color w:val="403000" w:themeColor="accent4" w:themeShade="40"/>
          <w:szCs w:val="18"/>
          <w:lang w:val="nl-NL"/>
        </w:rPr>
        <w:t>Verwerker is verplicht iedere Subverwerker via een overeenkomst of andere rechtshandeling minimaal dezelfde verplichtingen inzake gegevensbescherming op te leggen als in deze 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Verantwoordelijke afschriften verstrekken van deze Verwerkers-overeenkomsten, of van de relevante passages uit de Verwerkersovereenkomst of een andere overeenkomst of een andere bindende rechtshandeling tussen Verwerker en de door deze overeenkomstig artikel 1</w:t>
      </w:r>
      <w:r w:rsidR="008A74A2" w:rsidRPr="008A74A2">
        <w:rPr>
          <w:rFonts w:ascii="Open Sans" w:hAnsi="Open Sans" w:cs="Open Sans"/>
          <w:color w:val="403000" w:themeColor="accent4" w:themeShade="40"/>
          <w:szCs w:val="18"/>
          <w:lang w:val="nl-NL"/>
        </w:rPr>
        <w:t>1</w:t>
      </w:r>
      <w:r w:rsidRPr="008A74A2">
        <w:rPr>
          <w:rFonts w:ascii="Open Sans" w:hAnsi="Open Sans" w:cs="Open Sans"/>
          <w:color w:val="403000" w:themeColor="accent4" w:themeShade="40"/>
          <w:szCs w:val="18"/>
          <w:lang w:val="nl-NL"/>
        </w:rPr>
        <w:t>, lid 1, van deze overeenkomst ingeschakelde Subverwerker.</w:t>
      </w:r>
    </w:p>
    <w:p w14:paraId="1697CAA8" w14:textId="3F3643DD" w:rsidR="00F21189" w:rsidRPr="00894BF8" w:rsidRDefault="00F21189" w:rsidP="00F21189">
      <w:pPr>
        <w:spacing w:beforeLines="40" w:before="96" w:afterLines="20" w:after="48" w:line="240" w:lineRule="auto"/>
        <w:ind w:right="-144"/>
        <w:outlineLvl w:val="0"/>
        <w:rPr>
          <w:rFonts w:ascii="Open Sans" w:hAnsi="Open Sans" w:cs="Open Sans"/>
          <w:b/>
          <w:color w:val="403000" w:themeColor="accent4" w:themeShade="40"/>
          <w:szCs w:val="18"/>
          <w:lang w:val="nl-NL"/>
        </w:rPr>
      </w:pPr>
      <w:r w:rsidRPr="00894BF8">
        <w:rPr>
          <w:rFonts w:ascii="Open Sans" w:hAnsi="Open Sans" w:cs="Open Sans"/>
          <w:b/>
          <w:color w:val="403000" w:themeColor="accent4" w:themeShade="40"/>
          <w:szCs w:val="18"/>
          <w:lang w:val="nl-NL"/>
        </w:rPr>
        <w:t>Artikel 1</w:t>
      </w:r>
      <w:r w:rsidR="008A74A2">
        <w:rPr>
          <w:rFonts w:ascii="Open Sans" w:hAnsi="Open Sans" w:cs="Open Sans"/>
          <w:b/>
          <w:color w:val="403000" w:themeColor="accent4" w:themeShade="40"/>
          <w:szCs w:val="18"/>
          <w:lang w:val="nl-NL"/>
        </w:rPr>
        <w:t>2</w:t>
      </w:r>
      <w:r w:rsidRPr="00894BF8">
        <w:rPr>
          <w:rFonts w:ascii="Open Sans" w:hAnsi="Open Sans" w:cs="Open Sans"/>
          <w:b/>
          <w:color w:val="403000" w:themeColor="accent4" w:themeShade="40"/>
          <w:szCs w:val="18"/>
          <w:lang w:val="nl-NL"/>
        </w:rPr>
        <w:t>: Bewaartermijnen en vernietiging Persoonsgegevens</w:t>
      </w:r>
    </w:p>
    <w:p w14:paraId="58465098" w14:textId="77777777" w:rsidR="00F21189" w:rsidRDefault="00F21189" w:rsidP="00F21189">
      <w:pPr>
        <w:pStyle w:val="NoSpacing"/>
        <w:numPr>
          <w:ilvl w:val="0"/>
          <w:numId w:val="36"/>
        </w:numPr>
        <w:spacing w:beforeLines="40" w:before="96" w:afterLines="20" w:after="48"/>
        <w:ind w:right="-144"/>
        <w:rPr>
          <w:rFonts w:ascii="Open Sans" w:hAnsi="Open Sans" w:cs="Open Sans"/>
          <w:color w:val="403000" w:themeColor="accent4" w:themeShade="40"/>
          <w:szCs w:val="18"/>
          <w:lang w:val="nl-NL"/>
        </w:rPr>
      </w:pP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w:t>
      </w:r>
      <w:r>
        <w:rPr>
          <w:rFonts w:ascii="Open Sans" w:hAnsi="Open Sans" w:cs="Open Sans"/>
          <w:color w:val="403000" w:themeColor="accent4" w:themeShade="40"/>
          <w:szCs w:val="18"/>
          <w:lang w:val="nl-NL"/>
        </w:rPr>
        <w:t xml:space="preserve">geeft </w:t>
      </w:r>
      <w:r w:rsidRPr="00894BF8">
        <w:rPr>
          <w:rFonts w:ascii="Open Sans" w:hAnsi="Open Sans" w:cs="Open Sans"/>
          <w:color w:val="403000" w:themeColor="accent4" w:themeShade="40"/>
          <w:szCs w:val="18"/>
          <w:lang w:val="nl-NL"/>
        </w:rPr>
        <w:t xml:space="preserve"> Verwerker </w:t>
      </w:r>
      <w:r>
        <w:rPr>
          <w:rFonts w:ascii="Open Sans" w:hAnsi="Open Sans" w:cs="Open Sans"/>
          <w:color w:val="403000" w:themeColor="accent4" w:themeShade="40"/>
          <w:szCs w:val="18"/>
          <w:lang w:val="nl-NL"/>
        </w:rPr>
        <w:t>de instructie om de volgende bewaartermijnen in acht te nemen ten aanzien van Persoonsgegevens die zij verwerkt:</w:t>
      </w:r>
    </w:p>
    <w:p w14:paraId="1C8EAE96" w14:textId="77777777" w:rsidR="00F21189" w:rsidRDefault="00F21189" w:rsidP="00F21189">
      <w:pPr>
        <w:pStyle w:val="NoSpacing"/>
        <w:numPr>
          <w:ilvl w:val="0"/>
          <w:numId w:val="46"/>
        </w:numPr>
        <w:spacing w:beforeLines="40" w:before="96" w:afterLines="20" w:after="48"/>
        <w:ind w:right="-144"/>
        <w:rPr>
          <w:rFonts w:ascii="Open Sans" w:hAnsi="Open Sans" w:cs="Open Sans"/>
          <w:color w:val="403000" w:themeColor="accent4" w:themeShade="40"/>
          <w:szCs w:val="18"/>
          <w:lang w:val="nl-NL"/>
        </w:rPr>
      </w:pPr>
      <w:r w:rsidRPr="00D44652">
        <w:rPr>
          <w:rFonts w:ascii="Open Sans" w:hAnsi="Open Sans" w:cs="Open Sans"/>
          <w:color w:val="403000" w:themeColor="accent4" w:themeShade="40"/>
          <w:szCs w:val="18"/>
          <w:lang w:val="nl-NL"/>
        </w:rPr>
        <w:t>gegevens van leerlingen en/of cliënten worden bewaard tot 5 jaar na de laatste afname van een test of toets;</w:t>
      </w:r>
    </w:p>
    <w:p w14:paraId="28CC8264" w14:textId="77777777" w:rsidR="00F21189" w:rsidRPr="00D44652" w:rsidRDefault="00F21189" w:rsidP="00F21189">
      <w:pPr>
        <w:pStyle w:val="NoSpacing"/>
        <w:numPr>
          <w:ilvl w:val="0"/>
          <w:numId w:val="46"/>
        </w:numPr>
        <w:spacing w:beforeLines="40" w:before="96" w:afterLines="20" w:after="48"/>
        <w:ind w:right="-144"/>
        <w:rPr>
          <w:rFonts w:ascii="Open Sans" w:hAnsi="Open Sans" w:cs="Open Sans"/>
          <w:color w:val="403000" w:themeColor="accent4" w:themeShade="40"/>
          <w:szCs w:val="18"/>
          <w:lang w:val="nl-NL"/>
        </w:rPr>
      </w:pPr>
      <w:r w:rsidRPr="00D44652">
        <w:rPr>
          <w:rFonts w:ascii="Open Sans" w:hAnsi="Open Sans" w:cs="Open Sans"/>
          <w:color w:val="403000" w:themeColor="accent4" w:themeShade="40"/>
          <w:szCs w:val="18"/>
          <w:lang w:val="nl-NL"/>
        </w:rPr>
        <w:t>gegevens van leerkrachten en/of testafnemers worden bewaard tot 5 jaar na de laatste inlog die zij hebben gedaan.</w:t>
      </w:r>
      <w:r w:rsidRPr="00D44652">
        <w:rPr>
          <w:rFonts w:ascii="Open Sans" w:hAnsi="Open Sans" w:cs="Open Sans"/>
          <w:color w:val="403000" w:themeColor="accent4" w:themeShade="40"/>
          <w:szCs w:val="18"/>
          <w:lang w:val="nl-NL"/>
        </w:rPr>
        <w:br/>
        <w:t>Verwerker zal de Persoonsgegevens niet langer Verwerken dan overeenkomstig deze bewaartermijnen</w:t>
      </w:r>
    </w:p>
    <w:p w14:paraId="48B2FE42" w14:textId="77777777" w:rsidR="00F21189" w:rsidRPr="00894BF8" w:rsidRDefault="00F21189" w:rsidP="00F21189">
      <w:pPr>
        <w:pStyle w:val="NoSpacing"/>
        <w:numPr>
          <w:ilvl w:val="0"/>
          <w:numId w:val="36"/>
        </w:numPr>
        <w:spacing w:beforeLines="40" w:before="96" w:afterLines="20" w:after="48"/>
        <w:ind w:right="-144"/>
        <w:rPr>
          <w:rFonts w:ascii="Open Sans" w:hAnsi="Open Sans" w:cs="Open Sans"/>
          <w:color w:val="403000" w:themeColor="accent4" w:themeShade="40"/>
          <w:szCs w:val="18"/>
          <w:lang w:val="nl-NL"/>
        </w:rPr>
      </w:pPr>
      <w:r w:rsidRPr="0091266B">
        <w:rPr>
          <w:rFonts w:ascii="Open Sans" w:hAnsi="Open Sans" w:cs="Open Sans"/>
          <w:color w:val="403000" w:themeColor="accent4" w:themeShade="40"/>
          <w:szCs w:val="18"/>
          <w:lang w:val="nl-NL"/>
        </w:rPr>
        <w:t xml:space="preserve">Verantwoordelijke </w:t>
      </w:r>
      <w:r>
        <w:rPr>
          <w:rFonts w:ascii="Open Sans" w:hAnsi="Open Sans" w:cs="Open Sans"/>
          <w:color w:val="403000" w:themeColor="accent4" w:themeShade="40"/>
          <w:szCs w:val="18"/>
          <w:lang w:val="nl-NL"/>
        </w:rPr>
        <w:t xml:space="preserve">is en blijft verantwoordelijk voor het </w:t>
      </w:r>
      <w:r w:rsidRPr="0091266B">
        <w:rPr>
          <w:rFonts w:ascii="Open Sans" w:hAnsi="Open Sans" w:cs="Open Sans"/>
          <w:color w:val="403000" w:themeColor="accent4" w:themeShade="40"/>
          <w:szCs w:val="18"/>
          <w:lang w:val="nl-NL"/>
        </w:rPr>
        <w:t>bewaren van</w:t>
      </w:r>
      <w:r>
        <w:rPr>
          <w:rFonts w:ascii="Open Sans" w:hAnsi="Open Sans" w:cs="Open Sans"/>
          <w:color w:val="403000" w:themeColor="accent4" w:themeShade="40"/>
          <w:szCs w:val="18"/>
          <w:lang w:val="nl-NL"/>
        </w:rPr>
        <w:t xml:space="preserve"> de persoons</w:t>
      </w:r>
      <w:r w:rsidRPr="0091266B">
        <w:rPr>
          <w:rFonts w:ascii="Open Sans" w:hAnsi="Open Sans" w:cs="Open Sans"/>
          <w:color w:val="403000" w:themeColor="accent4" w:themeShade="40"/>
          <w:szCs w:val="18"/>
          <w:lang w:val="nl-NL"/>
        </w:rPr>
        <w:t xml:space="preserve">gegevens </w:t>
      </w:r>
      <w:r>
        <w:rPr>
          <w:rFonts w:ascii="Open Sans" w:hAnsi="Open Sans" w:cs="Open Sans"/>
          <w:color w:val="403000" w:themeColor="accent4" w:themeShade="40"/>
          <w:szCs w:val="18"/>
          <w:lang w:val="nl-NL"/>
        </w:rPr>
        <w:t>overeenkomstig de wettelijke verplichtingen. Indien Persoonsgegevens langer moeten worden bewaard dan  de op grond van de in dit artikel  gegeven instructies aan Verwerker, zal Verantwoordelijke hier zelf voor zorgdragen.</w:t>
      </w:r>
    </w:p>
    <w:p w14:paraId="15D11234" w14:textId="77777777" w:rsidR="00F21189" w:rsidRPr="00894BF8" w:rsidRDefault="00F21189" w:rsidP="00F21189">
      <w:pPr>
        <w:pStyle w:val="NoSpacing"/>
        <w:numPr>
          <w:ilvl w:val="0"/>
          <w:numId w:val="36"/>
        </w:numPr>
        <w:spacing w:beforeLines="40" w:before="96" w:afterLines="20" w:after="48"/>
        <w:ind w:right="-144"/>
        <w:rPr>
          <w:rFonts w:ascii="Open Sans" w:hAnsi="Open Sans" w:cs="Open Sans"/>
          <w:color w:val="403000" w:themeColor="accent4" w:themeShade="40"/>
          <w:szCs w:val="18"/>
          <w:lang w:val="nl-NL"/>
        </w:rPr>
      </w:pP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verplicht Verwerker om de in opdracht van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Verwerkte Persoonsgegevens </w:t>
      </w:r>
      <w:r>
        <w:rPr>
          <w:rFonts w:ascii="Open Sans" w:hAnsi="Open Sans" w:cs="Open Sans"/>
          <w:color w:val="403000" w:themeColor="accent4" w:themeShade="40"/>
          <w:szCs w:val="18"/>
          <w:lang w:val="nl-NL"/>
        </w:rPr>
        <w:t>na de in dit artikel  genoemde bewaartermijnen te vernietigen, danwel – naar gelang de keuze van Verantwoordelijke - aan Verantwoordelijke terug te bezorgen</w:t>
      </w:r>
      <w:r w:rsidRPr="00D44652">
        <w:rPr>
          <w:rFonts w:ascii="Open Sans" w:hAnsi="Open Sans" w:cs="Open Sans"/>
          <w:color w:val="403000" w:themeColor="accent4" w:themeShade="40"/>
          <w:szCs w:val="18"/>
          <w:lang w:val="nl-NL"/>
        </w:rPr>
        <w:t>, en verwijdert bestaande kopieën</w:t>
      </w:r>
      <w:r>
        <w:rPr>
          <w:rFonts w:ascii="Open Sans" w:hAnsi="Open Sans" w:cs="Open Sans"/>
          <w:color w:val="403000" w:themeColor="accent4" w:themeShade="40"/>
          <w:szCs w:val="18"/>
          <w:lang w:val="nl-NL"/>
        </w:rPr>
        <w:t xml:space="preserve">.  </w:t>
      </w:r>
      <w:r w:rsidRPr="00894BF8">
        <w:rPr>
          <w:rFonts w:ascii="Open Sans" w:hAnsi="Open Sans" w:cs="Open Sans"/>
          <w:color w:val="403000" w:themeColor="accent4" w:themeShade="40"/>
          <w:szCs w:val="18"/>
          <w:lang w:val="nl-NL"/>
        </w:rPr>
        <w:t xml:space="preserve"> </w:t>
      </w:r>
    </w:p>
    <w:p w14:paraId="10B421C5" w14:textId="77777777" w:rsidR="00F21189" w:rsidRPr="007847B6" w:rsidRDefault="00F21189" w:rsidP="00F21189">
      <w:pPr>
        <w:pStyle w:val="ListParagraph"/>
        <w:numPr>
          <w:ilvl w:val="0"/>
          <w:numId w:val="36"/>
        </w:numPr>
        <w:spacing w:beforeLines="40" w:before="96" w:afterLines="20" w:after="48"/>
        <w:ind w:right="-144"/>
        <w:rPr>
          <w:rFonts w:ascii="Open Sans" w:hAnsi="Open Sans" w:cs="Open Sans"/>
          <w:color w:val="403000" w:themeColor="accent4" w:themeShade="40"/>
          <w:szCs w:val="18"/>
          <w:lang w:val="nl-NL"/>
        </w:rPr>
      </w:pPr>
      <w:r w:rsidRPr="007847B6">
        <w:rPr>
          <w:rFonts w:ascii="Open Sans" w:eastAsiaTheme="minorEastAsia" w:hAnsi="Open Sans" w:cs="Open Sans"/>
          <w:color w:val="403000" w:themeColor="accent4" w:themeShade="40"/>
          <w:szCs w:val="18"/>
          <w:lang w:val="nl-NL" w:eastAsia="en-US"/>
        </w:rPr>
        <w:t>Na beëindiging van de Verwerkersovereenkomst, op welke grond of wijze dan ook, zal Verwerker, naar gelang de keuze van de Verantwoordelijke,  alle Persoonsgegevens wissen of terugbezorgen aan Verantwoordelijke en verwijdert bestaande kopieën</w:t>
      </w:r>
      <w:r>
        <w:rPr>
          <w:rFonts w:ascii="Open Sans" w:eastAsiaTheme="minorEastAsia" w:hAnsi="Open Sans" w:cs="Open Sans"/>
          <w:color w:val="403000" w:themeColor="accent4" w:themeShade="40"/>
          <w:szCs w:val="18"/>
          <w:lang w:val="nl-NL" w:eastAsia="en-US"/>
        </w:rPr>
        <w:t>.</w:t>
      </w:r>
    </w:p>
    <w:p w14:paraId="698043FA" w14:textId="77777777" w:rsidR="00F21189" w:rsidRPr="00894BF8" w:rsidRDefault="00F21189" w:rsidP="00F21189">
      <w:pPr>
        <w:pStyle w:val="NoSpacing"/>
        <w:numPr>
          <w:ilvl w:val="0"/>
          <w:numId w:val="36"/>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Verwerker zal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(schriftelijk of elektronisch) bevestigen dat vernietiging van de Verwerkte persoonsgegevens heeft plaatsgevonden. </w:t>
      </w:r>
    </w:p>
    <w:p w14:paraId="78BCBD9C" w14:textId="77777777" w:rsidR="00F21189" w:rsidRDefault="00F21189" w:rsidP="00F21189">
      <w:pPr>
        <w:pStyle w:val="NoSpacing"/>
        <w:numPr>
          <w:ilvl w:val="0"/>
          <w:numId w:val="36"/>
        </w:numPr>
        <w:spacing w:beforeLines="40" w:before="96" w:afterLines="20" w:after="48"/>
        <w:ind w:right="-144"/>
        <w:rPr>
          <w:rFonts w:ascii="Open Sans" w:hAnsi="Open Sans" w:cs="Open Sans"/>
          <w:color w:val="403000" w:themeColor="accent4" w:themeShade="40"/>
          <w:szCs w:val="18"/>
          <w:lang w:val="nl-NL"/>
        </w:rPr>
      </w:pPr>
      <w:r w:rsidRPr="007847B6">
        <w:rPr>
          <w:rFonts w:ascii="Open Sans" w:hAnsi="Open Sans" w:cs="Open Sans"/>
          <w:color w:val="403000" w:themeColor="accent4" w:themeShade="40"/>
          <w:szCs w:val="18"/>
          <w:lang w:val="nl-NL"/>
        </w:rPr>
        <w:t>De Verantwoordelijke kan op eigen kosten een controle laten uitvoeren of vernietiging heeft plaatsgevonden.</w:t>
      </w:r>
    </w:p>
    <w:p w14:paraId="7BC30A2C" w14:textId="77777777" w:rsidR="00F21189" w:rsidRPr="00894BF8" w:rsidRDefault="00F21189" w:rsidP="00F21189">
      <w:pPr>
        <w:pStyle w:val="NoSpacing"/>
        <w:numPr>
          <w:ilvl w:val="0"/>
          <w:numId w:val="36"/>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Verwerker zal alle Subverwerkers die betrokken zijn bij de Verwerking van de Persoonsgegevens op de hoogte stellen van een beëindiging van de Verwerkers</w:t>
      </w:r>
      <w:r>
        <w:rPr>
          <w:rFonts w:ascii="Open Sans" w:hAnsi="Open Sans" w:cs="Open Sans"/>
          <w:color w:val="403000" w:themeColor="accent4" w:themeShade="40"/>
          <w:szCs w:val="18"/>
          <w:lang w:val="nl-NL"/>
        </w:rPr>
        <w:t>-</w:t>
      </w:r>
      <w:r w:rsidRPr="00894BF8">
        <w:rPr>
          <w:rFonts w:ascii="Open Sans" w:hAnsi="Open Sans" w:cs="Open Sans"/>
          <w:color w:val="403000" w:themeColor="accent4" w:themeShade="40"/>
          <w:szCs w:val="18"/>
          <w:lang w:val="nl-NL"/>
        </w:rPr>
        <w:t>overeenkomst en zal waarborgen dat alle Subverwerkers de Persoonsgegevens (laten) vernietigen.</w:t>
      </w:r>
    </w:p>
    <w:p w14:paraId="046A279C" w14:textId="77777777" w:rsidR="00F21189" w:rsidRPr="00894BF8" w:rsidRDefault="00F21189" w:rsidP="00F21189">
      <w:pPr>
        <w:spacing w:beforeLines="40" w:before="96" w:afterLines="20" w:after="48" w:line="240" w:lineRule="auto"/>
        <w:ind w:right="-144"/>
        <w:rPr>
          <w:rFonts w:ascii="Open Sans" w:hAnsi="Open Sans" w:cs="Open Sans"/>
          <w:color w:val="403000" w:themeColor="accent4" w:themeShade="40"/>
          <w:szCs w:val="18"/>
          <w:lang w:val="nl-NL"/>
        </w:rPr>
      </w:pPr>
    </w:p>
    <w:p w14:paraId="777E3541" w14:textId="7C194B1F" w:rsidR="00F21189" w:rsidRPr="00894BF8" w:rsidRDefault="00F21189" w:rsidP="00F21189">
      <w:pPr>
        <w:spacing w:beforeLines="40" w:before="96" w:afterLines="20" w:after="48" w:line="240" w:lineRule="auto"/>
        <w:ind w:right="-144"/>
        <w:outlineLvl w:val="0"/>
        <w:rPr>
          <w:rFonts w:ascii="Open Sans" w:hAnsi="Open Sans" w:cs="Open Sans"/>
          <w:color w:val="403000" w:themeColor="accent4" w:themeShade="40"/>
          <w:szCs w:val="18"/>
          <w:lang w:val="nl-NL"/>
        </w:rPr>
      </w:pPr>
      <w:bookmarkStart w:id="2" w:name="_Hlk511659043"/>
      <w:r w:rsidRPr="00894BF8">
        <w:rPr>
          <w:rFonts w:ascii="Open Sans" w:hAnsi="Open Sans" w:cs="Open Sans"/>
          <w:b/>
          <w:color w:val="403000" w:themeColor="accent4" w:themeShade="40"/>
          <w:szCs w:val="18"/>
          <w:lang w:val="nl-NL"/>
        </w:rPr>
        <w:t>Artikel 1</w:t>
      </w:r>
      <w:r w:rsidR="008A74A2">
        <w:rPr>
          <w:rFonts w:ascii="Open Sans" w:hAnsi="Open Sans" w:cs="Open Sans"/>
          <w:b/>
          <w:color w:val="403000" w:themeColor="accent4" w:themeShade="40"/>
          <w:szCs w:val="18"/>
          <w:lang w:val="nl-NL"/>
        </w:rPr>
        <w:t>3</w:t>
      </w:r>
      <w:r w:rsidRPr="00894BF8">
        <w:rPr>
          <w:rFonts w:ascii="Open Sans" w:hAnsi="Open Sans" w:cs="Open Sans"/>
          <w:b/>
          <w:color w:val="403000" w:themeColor="accent4" w:themeShade="40"/>
          <w:szCs w:val="18"/>
          <w:lang w:val="nl-NL"/>
        </w:rPr>
        <w:t>: Aansprakelijkheid</w:t>
      </w:r>
    </w:p>
    <w:p w14:paraId="314312DC" w14:textId="77777777" w:rsidR="00F72F5D" w:rsidRPr="00894BF8" w:rsidRDefault="00F72F5D" w:rsidP="00F72F5D">
      <w:pPr>
        <w:pStyle w:val="NoSpacing"/>
        <w:numPr>
          <w:ilvl w:val="0"/>
          <w:numId w:val="42"/>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Een Partij kan geen beroep doen op een aansprakelijkheidsbeperking, die is opgenomen in de Product- of Dienstenovereenkomst of andere tussen Partijen bestaande overeenkomst of regeling, ten aanzien van een door de andere Partij ingestelde: </w:t>
      </w:r>
    </w:p>
    <w:p w14:paraId="75375A56" w14:textId="77777777" w:rsidR="00F72F5D" w:rsidRPr="00894BF8" w:rsidRDefault="00F72F5D" w:rsidP="00F72F5D">
      <w:pPr>
        <w:pStyle w:val="NoSpacing"/>
        <w:numPr>
          <w:ilvl w:val="1"/>
          <w:numId w:val="42"/>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verhaalsactie op grond van artikel 82 AVG; of</w:t>
      </w:r>
    </w:p>
    <w:p w14:paraId="67917BF7" w14:textId="77777777" w:rsidR="00F72F5D" w:rsidRPr="00894BF8" w:rsidRDefault="00F72F5D" w:rsidP="00F72F5D">
      <w:pPr>
        <w:pStyle w:val="NoSpacing"/>
        <w:numPr>
          <w:ilvl w:val="1"/>
          <w:numId w:val="42"/>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schadevergoedingsactie uit hoofde van deze Verwerkersovereenkomst, indien en voor zover de actie bestaat uit verhaal van een aan de Toezichthouder betaalde geldboete die geheel of gedeeltelijk toerekenbaar is aan de andere Partij.</w:t>
      </w:r>
    </w:p>
    <w:p w14:paraId="534DB421" w14:textId="77777777" w:rsidR="00F72F5D" w:rsidRPr="00894BF8" w:rsidRDefault="00F72F5D" w:rsidP="00F72F5D">
      <w:pPr>
        <w:pStyle w:val="NoSpacing"/>
        <w:spacing w:beforeLines="40" w:before="96" w:afterLines="20" w:after="48"/>
        <w:ind w:left="720"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Het bepaalde in dit artikel laat onverlet de rechtsmiddelen die de aangesproken partij op grond van de geldende wet- of regelgeving ter beschikking staat.</w:t>
      </w:r>
    </w:p>
    <w:p w14:paraId="67044A6D" w14:textId="0B42B40F" w:rsidR="00F72F5D" w:rsidRPr="00894BF8" w:rsidRDefault="00F72F5D" w:rsidP="00F72F5D">
      <w:pPr>
        <w:pStyle w:val="NoSpacing"/>
        <w:numPr>
          <w:ilvl w:val="0"/>
          <w:numId w:val="42"/>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Het bepaalde in lid 1 sub b geldt onverminderd het bepaalde in artikel 1</w:t>
      </w:r>
      <w:r>
        <w:rPr>
          <w:rFonts w:ascii="Open Sans" w:hAnsi="Open Sans" w:cs="Open Sans"/>
          <w:color w:val="403000" w:themeColor="accent4" w:themeShade="40"/>
          <w:szCs w:val="18"/>
          <w:lang w:val="nl-NL"/>
        </w:rPr>
        <w:t>3</w:t>
      </w:r>
      <w:r w:rsidRPr="00894BF8">
        <w:rPr>
          <w:rFonts w:ascii="Open Sans" w:hAnsi="Open Sans" w:cs="Open Sans"/>
          <w:color w:val="403000" w:themeColor="accent4" w:themeShade="40"/>
          <w:szCs w:val="18"/>
          <w:lang w:val="nl-NL"/>
        </w:rPr>
        <w:t xml:space="preserve"> lid 2.</w:t>
      </w:r>
    </w:p>
    <w:p w14:paraId="2AA81BC7" w14:textId="77777777" w:rsidR="00F72F5D" w:rsidRPr="00894BF8" w:rsidRDefault="00F72F5D" w:rsidP="00F72F5D">
      <w:pPr>
        <w:pStyle w:val="NoSpacing"/>
        <w:numPr>
          <w:ilvl w:val="0"/>
          <w:numId w:val="42"/>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Iedere Partij is verplicht de andere Partij zonder onnodige vertraging op de hoogte te stellen van een (mogelijke) 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14:paraId="54094FA9" w14:textId="77777777" w:rsidR="00F72F5D" w:rsidRDefault="00F72F5D" w:rsidP="00F72F5D">
      <w:pPr>
        <w:pStyle w:val="NoSpacing"/>
        <w:spacing w:beforeLines="40" w:before="96" w:afterLines="20" w:after="48"/>
        <w:ind w:left="360" w:right="-144"/>
        <w:rPr>
          <w:rFonts w:ascii="Open Sans" w:hAnsi="Open Sans" w:cs="Open Sans"/>
          <w:color w:val="403000" w:themeColor="accent4" w:themeShade="40"/>
          <w:szCs w:val="18"/>
          <w:lang w:val="nl-NL"/>
        </w:rPr>
      </w:pPr>
    </w:p>
    <w:bookmarkEnd w:id="2"/>
    <w:p w14:paraId="30D2D6AC" w14:textId="1E7A4F6A" w:rsidR="00F21189" w:rsidRPr="00894BF8" w:rsidRDefault="00F21189" w:rsidP="00F21189">
      <w:pPr>
        <w:spacing w:beforeLines="40" w:before="96" w:afterLines="20" w:after="48" w:line="240" w:lineRule="auto"/>
        <w:ind w:right="-144"/>
        <w:outlineLvl w:val="0"/>
        <w:rPr>
          <w:rFonts w:ascii="Open Sans" w:hAnsi="Open Sans" w:cs="Open Sans"/>
          <w:b/>
          <w:color w:val="403000" w:themeColor="accent4" w:themeShade="40"/>
          <w:szCs w:val="18"/>
          <w:lang w:val="nl-NL"/>
        </w:rPr>
      </w:pPr>
      <w:r w:rsidRPr="00894BF8">
        <w:rPr>
          <w:rFonts w:ascii="Open Sans" w:hAnsi="Open Sans" w:cs="Open Sans"/>
          <w:b/>
          <w:color w:val="403000" w:themeColor="accent4" w:themeShade="40"/>
          <w:szCs w:val="18"/>
          <w:lang w:val="nl-NL"/>
        </w:rPr>
        <w:t>Artikel 1</w:t>
      </w:r>
      <w:r w:rsidR="008A74A2">
        <w:rPr>
          <w:rFonts w:ascii="Open Sans" w:hAnsi="Open Sans" w:cs="Open Sans"/>
          <w:b/>
          <w:color w:val="403000" w:themeColor="accent4" w:themeShade="40"/>
          <w:szCs w:val="18"/>
          <w:lang w:val="nl-NL"/>
        </w:rPr>
        <w:t>4</w:t>
      </w:r>
      <w:r w:rsidRPr="00894BF8">
        <w:rPr>
          <w:rFonts w:ascii="Open Sans" w:hAnsi="Open Sans" w:cs="Open Sans"/>
          <w:b/>
          <w:color w:val="403000" w:themeColor="accent4" w:themeShade="40"/>
          <w:szCs w:val="18"/>
          <w:lang w:val="nl-NL"/>
        </w:rPr>
        <w:t xml:space="preserve">: Tegenstrijdigheid en wijziging Verwerkersovereenkomst </w:t>
      </w:r>
    </w:p>
    <w:p w14:paraId="2382484C" w14:textId="77777777" w:rsidR="00F21189" w:rsidRPr="00894BF8" w:rsidRDefault="00F21189" w:rsidP="00F21189">
      <w:pPr>
        <w:pStyle w:val="NoSpacing"/>
        <w:numPr>
          <w:ilvl w:val="0"/>
          <w:numId w:val="37"/>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In het geval van tegenstrijdigheid tussen de bepalingen uit deze Verwerkersovereenkomst en de bepalingen van de Dienstenovereenkomst, dan zullen de bepalingen van deze Verwerkersovereenkomst leidend zijn. </w:t>
      </w:r>
    </w:p>
    <w:p w14:paraId="581C4DD8" w14:textId="77777777" w:rsidR="00F21189" w:rsidRPr="00894BF8" w:rsidRDefault="00F21189" w:rsidP="00F21189">
      <w:pPr>
        <w:pStyle w:val="NoSpacing"/>
        <w:numPr>
          <w:ilvl w:val="0"/>
          <w:numId w:val="37"/>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Bij belangrijke wijzigingen in het product en/of de (aanvullende) diensten die van invloed zijn op de Verwerking van de Persoonsgegevens wordt, alvorens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de keuze hiertoe aanvaardt, de </w:t>
      </w: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 xml:space="preserve"> in begrijpelijke taal geïnformeerd over de 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14:paraId="50E34730" w14:textId="77777777" w:rsidR="00F21189" w:rsidRPr="00894BF8" w:rsidRDefault="00F21189" w:rsidP="00F21189">
      <w:pPr>
        <w:pStyle w:val="NoSpacing"/>
        <w:numPr>
          <w:ilvl w:val="0"/>
          <w:numId w:val="37"/>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Wijzigingen in de artikelen van de Verwerkersovereenkomst kunnen uitsluitend in gezamenlijkheid worden overeengekomen.</w:t>
      </w:r>
    </w:p>
    <w:p w14:paraId="3A2ECF9C" w14:textId="77777777" w:rsidR="00F21189" w:rsidRPr="00894BF8" w:rsidRDefault="00F21189" w:rsidP="00F21189">
      <w:pPr>
        <w:pStyle w:val="NoSpacing"/>
        <w:numPr>
          <w:ilvl w:val="0"/>
          <w:numId w:val="37"/>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30DF5EFA" w14:textId="77777777" w:rsidR="00F21189" w:rsidRPr="00894BF8" w:rsidRDefault="00F21189" w:rsidP="00F21189">
      <w:pPr>
        <w:pStyle w:val="NoSpacing"/>
        <w:spacing w:beforeLines="40" w:before="96" w:afterLines="20" w:after="48"/>
        <w:ind w:left="720" w:right="-144"/>
        <w:rPr>
          <w:rFonts w:ascii="Open Sans" w:hAnsi="Open Sans" w:cs="Open Sans"/>
          <w:color w:val="403000" w:themeColor="accent4" w:themeShade="40"/>
          <w:szCs w:val="18"/>
          <w:lang w:val="nl-NL"/>
        </w:rPr>
      </w:pPr>
    </w:p>
    <w:p w14:paraId="044B655B" w14:textId="5EE273A6" w:rsidR="00F21189" w:rsidRPr="00894BF8" w:rsidRDefault="00F21189" w:rsidP="00F21189">
      <w:pPr>
        <w:spacing w:beforeLines="40" w:before="96" w:afterLines="20" w:after="48" w:line="240" w:lineRule="auto"/>
        <w:ind w:right="-144"/>
        <w:outlineLvl w:val="0"/>
        <w:rPr>
          <w:rFonts w:ascii="Open Sans" w:hAnsi="Open Sans" w:cs="Open Sans"/>
          <w:b/>
          <w:color w:val="403000" w:themeColor="accent4" w:themeShade="40"/>
          <w:szCs w:val="18"/>
          <w:lang w:val="nl-NL"/>
        </w:rPr>
      </w:pPr>
      <w:r w:rsidRPr="00894BF8">
        <w:rPr>
          <w:rFonts w:ascii="Open Sans" w:hAnsi="Open Sans" w:cs="Open Sans"/>
          <w:b/>
          <w:color w:val="403000" w:themeColor="accent4" w:themeShade="40"/>
          <w:szCs w:val="18"/>
          <w:lang w:val="nl-NL"/>
        </w:rPr>
        <w:t>Artikel 1</w:t>
      </w:r>
      <w:r w:rsidR="008A74A2">
        <w:rPr>
          <w:rFonts w:ascii="Open Sans" w:hAnsi="Open Sans" w:cs="Open Sans"/>
          <w:b/>
          <w:color w:val="403000" w:themeColor="accent4" w:themeShade="40"/>
          <w:szCs w:val="18"/>
          <w:lang w:val="nl-NL"/>
        </w:rPr>
        <w:t>5</w:t>
      </w:r>
      <w:r w:rsidRPr="00894BF8">
        <w:rPr>
          <w:rFonts w:ascii="Open Sans" w:hAnsi="Open Sans" w:cs="Open Sans"/>
          <w:b/>
          <w:color w:val="403000" w:themeColor="accent4" w:themeShade="40"/>
          <w:szCs w:val="18"/>
          <w:lang w:val="nl-NL"/>
        </w:rPr>
        <w:t>: Duur en beëindiging</w:t>
      </w:r>
    </w:p>
    <w:p w14:paraId="5B7C00F0" w14:textId="77777777" w:rsidR="00F21189" w:rsidRPr="00894BF8" w:rsidRDefault="00F21189" w:rsidP="00F21189">
      <w:pPr>
        <w:pStyle w:val="NoSpacing"/>
        <w:numPr>
          <w:ilvl w:val="0"/>
          <w:numId w:val="38"/>
        </w:numPr>
        <w:spacing w:beforeLines="40" w:before="96" w:afterLines="20" w:after="48"/>
        <w:ind w:right="-144"/>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De looptijd van deze Verwerkersovereenkomst is gelijk aan de looptijd van de tussen Partijen gesloten Dienstenovereenkomst, inclusief eventuele verlengingen daarvan. </w:t>
      </w:r>
    </w:p>
    <w:p w14:paraId="3F3CEFD3" w14:textId="27881DEC" w:rsidR="00F21189" w:rsidRDefault="00F21189" w:rsidP="00F21189">
      <w:pPr>
        <w:pStyle w:val="NoSpacing"/>
        <w:numPr>
          <w:ilvl w:val="0"/>
          <w:numId w:val="38"/>
        </w:numPr>
        <w:spacing w:beforeLines="40" w:before="96" w:afterLines="20" w:after="48"/>
        <w:ind w:right="-144"/>
        <w:contextualSpacing/>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Deze Verwerkersovereenkomst eindigt van rechtswege bij de beëindiging van de Dienstenovereenkomst. De beëindiging van deze Verwerkersovereenkomst zal Partijen niet ontslaan van hun verplichtingen die voortvloeien uit deze Verwerkersovereenkomst die naar hun aard worden geacht ook na beëindiging voort te duren</w:t>
      </w:r>
      <w:r w:rsidR="008A74A2">
        <w:rPr>
          <w:rFonts w:ascii="Open Sans" w:hAnsi="Open Sans" w:cs="Open Sans"/>
          <w:color w:val="403000" w:themeColor="accent4" w:themeShade="40"/>
          <w:szCs w:val="18"/>
          <w:lang w:val="nl-NL"/>
        </w:rPr>
        <w:t>,</w:t>
      </w:r>
      <w:r w:rsidR="008A74A2" w:rsidRPr="008A74A2">
        <w:rPr>
          <w:rFonts w:ascii="Open Sans" w:eastAsiaTheme="minorHAnsi" w:hAnsi="Open Sans" w:cs="Open Sans"/>
          <w:color w:val="403000" w:themeColor="accent4" w:themeShade="40"/>
          <w:szCs w:val="18"/>
          <w:lang w:val="nl-NL"/>
        </w:rPr>
        <w:t xml:space="preserve"> </w:t>
      </w:r>
      <w:r w:rsidR="008A74A2" w:rsidRPr="008A74A2">
        <w:rPr>
          <w:rFonts w:ascii="Open Sans" w:hAnsi="Open Sans" w:cs="Open Sans"/>
          <w:color w:val="403000" w:themeColor="accent4" w:themeShade="40"/>
          <w:szCs w:val="18"/>
          <w:lang w:val="nl-NL"/>
        </w:rPr>
        <w:t>waaronder in ieder geval artikel 5, lid 1, en de artikelen 6, 9 en 12</w:t>
      </w:r>
      <w:r w:rsidR="008A74A2">
        <w:rPr>
          <w:rFonts w:ascii="Open Sans" w:hAnsi="Open Sans" w:cs="Open Sans"/>
          <w:color w:val="403000" w:themeColor="accent4" w:themeShade="40"/>
          <w:szCs w:val="18"/>
          <w:lang w:val="nl-NL"/>
        </w:rPr>
        <w:t>.</w:t>
      </w:r>
      <w:r w:rsidRPr="00894BF8">
        <w:rPr>
          <w:rFonts w:ascii="Open Sans" w:hAnsi="Open Sans" w:cs="Open Sans"/>
          <w:color w:val="403000" w:themeColor="accent4" w:themeShade="40"/>
          <w:szCs w:val="18"/>
          <w:lang w:val="nl-NL"/>
        </w:rPr>
        <w:t xml:space="preserve">  </w:t>
      </w:r>
    </w:p>
    <w:p w14:paraId="1FC93610" w14:textId="77777777" w:rsidR="00F21189" w:rsidRPr="00894BF8" w:rsidRDefault="00F21189" w:rsidP="00F21189">
      <w:pPr>
        <w:pStyle w:val="NoSpacing"/>
        <w:spacing w:beforeLines="40" w:before="96" w:afterLines="20" w:after="48"/>
        <w:ind w:right="-144"/>
        <w:contextualSpacing/>
        <w:rPr>
          <w:rFonts w:ascii="Open Sans" w:hAnsi="Open Sans" w:cs="Open Sans"/>
          <w:color w:val="403000" w:themeColor="accent4" w:themeShade="40"/>
          <w:szCs w:val="18"/>
          <w:lang w:val="nl-NL"/>
        </w:rPr>
      </w:pPr>
    </w:p>
    <w:p w14:paraId="052BD770" w14:textId="77777777" w:rsidR="00F21189" w:rsidRPr="00894BF8" w:rsidRDefault="00F21189" w:rsidP="00F21189">
      <w:pPr>
        <w:pStyle w:val="NoSpacing"/>
        <w:spacing w:beforeLines="40" w:before="96" w:afterLines="20" w:after="48"/>
        <w:ind w:right="-144"/>
        <w:contextualSpacing/>
        <w:rPr>
          <w:rFonts w:ascii="Open Sans" w:hAnsi="Open Sans" w:cs="Open Sans"/>
          <w:color w:val="403000" w:themeColor="accent4" w:themeShade="40"/>
          <w:szCs w:val="18"/>
          <w:lang w:val="nl-NL"/>
        </w:rPr>
      </w:pPr>
    </w:p>
    <w:p w14:paraId="7DF48C12" w14:textId="4C8171AB" w:rsidR="00F21189" w:rsidRPr="00894BF8" w:rsidRDefault="00F21189" w:rsidP="00F21189">
      <w:pPr>
        <w:pStyle w:val="NoSpacing"/>
        <w:spacing w:beforeLines="40" w:before="96" w:afterLines="20" w:after="48"/>
        <w:ind w:right="-144"/>
        <w:contextualSpacing/>
        <w:outlineLvl w:val="0"/>
        <w:rPr>
          <w:rFonts w:ascii="Open Sans" w:hAnsi="Open Sans" w:cs="Open Sans"/>
          <w:b/>
          <w:color w:val="403000" w:themeColor="accent4" w:themeShade="40"/>
          <w:szCs w:val="18"/>
          <w:lang w:val="nl-NL"/>
        </w:rPr>
      </w:pPr>
      <w:r>
        <w:rPr>
          <w:noProof/>
        </w:rPr>
        <w:drawing>
          <wp:anchor distT="0" distB="0" distL="114300" distR="114300" simplePos="0" relativeHeight="251659264" behindDoc="1" locked="0" layoutInCell="1" allowOverlap="1" wp14:anchorId="7A5461A3" wp14:editId="0B5BB871">
            <wp:simplePos x="0" y="0"/>
            <wp:positionH relativeFrom="column">
              <wp:posOffset>2535130</wp:posOffset>
            </wp:positionH>
            <wp:positionV relativeFrom="paragraph">
              <wp:posOffset>87342</wp:posOffset>
            </wp:positionV>
            <wp:extent cx="1184491" cy="1791617"/>
            <wp:effectExtent l="133350" t="95250" r="130175" b="94615"/>
            <wp:wrapNone/>
            <wp:docPr id="2" name="Afbeelding 2" descr="C:\Users\mdejong\AppData\Local\Microsoft\Windows\INetCache\Content.Word\Handtekening Arjen H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ejong\AppData\Local\Microsoft\Windows\INetCache\Content.Word\Handtekening Arjen Hol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23338">
                      <a:off x="0" y="0"/>
                      <a:ext cx="1191207" cy="1801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4BF8">
        <w:rPr>
          <w:rFonts w:ascii="Open Sans" w:hAnsi="Open Sans" w:cs="Open Sans"/>
          <w:b/>
          <w:color w:val="403000" w:themeColor="accent4" w:themeShade="40"/>
          <w:szCs w:val="18"/>
          <w:lang w:val="nl-NL"/>
        </w:rPr>
        <w:t>Aldus overeengekomen, in tweevoud opgemaakt en ondertekend,</w:t>
      </w:r>
    </w:p>
    <w:p w14:paraId="29AE8B12" w14:textId="279786F8" w:rsidR="00F21189" w:rsidRPr="00894BF8" w:rsidRDefault="00F21189" w:rsidP="00F21189">
      <w:pPr>
        <w:pStyle w:val="NoSpacing"/>
        <w:spacing w:beforeLines="40" w:before="96" w:afterLines="20" w:after="48"/>
        <w:ind w:right="-144"/>
        <w:contextualSpacing/>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ab/>
      </w:r>
      <w:r w:rsidRPr="00894BF8">
        <w:rPr>
          <w:rFonts w:ascii="Open Sans" w:hAnsi="Open Sans" w:cs="Open Sans"/>
          <w:color w:val="403000" w:themeColor="accent4" w:themeShade="40"/>
          <w:szCs w:val="18"/>
          <w:lang w:val="nl-NL"/>
        </w:rPr>
        <w:tab/>
      </w:r>
      <w:r w:rsidRPr="00894BF8">
        <w:rPr>
          <w:rFonts w:ascii="Open Sans" w:hAnsi="Open Sans" w:cs="Open Sans"/>
          <w:color w:val="403000" w:themeColor="accent4" w:themeShade="40"/>
          <w:szCs w:val="18"/>
          <w:lang w:val="nl-NL"/>
        </w:rPr>
        <w:tab/>
      </w:r>
    </w:p>
    <w:p w14:paraId="281A072F" w14:textId="6E1852CE" w:rsidR="00F21189" w:rsidRPr="00894BF8" w:rsidRDefault="00F21189" w:rsidP="00F21189">
      <w:pPr>
        <w:pStyle w:val="NoSpacing"/>
        <w:tabs>
          <w:tab w:val="left" w:pos="4820"/>
        </w:tabs>
        <w:spacing w:beforeLines="40" w:before="96" w:afterLines="20" w:after="48"/>
        <w:ind w:right="-144"/>
        <w:contextualSpacing/>
        <w:rPr>
          <w:rFonts w:ascii="Open Sans" w:hAnsi="Open Sans" w:cs="Open Sans"/>
          <w:color w:val="403000" w:themeColor="accent4" w:themeShade="40"/>
          <w:szCs w:val="18"/>
          <w:lang w:val="nl-NL"/>
        </w:rPr>
      </w:pPr>
      <w:r>
        <w:rPr>
          <w:rFonts w:ascii="Open Sans" w:hAnsi="Open Sans" w:cs="Open Sans"/>
          <w:color w:val="403000" w:themeColor="accent4" w:themeShade="40"/>
          <w:szCs w:val="18"/>
          <w:lang w:val="nl-NL"/>
        </w:rPr>
        <w:t>Verantwoordelijke</w:t>
      </w:r>
      <w:r w:rsidRPr="00894BF8">
        <w:rPr>
          <w:rFonts w:ascii="Open Sans" w:hAnsi="Open Sans" w:cs="Open Sans"/>
          <w:color w:val="403000" w:themeColor="accent4" w:themeShade="40"/>
          <w:szCs w:val="18"/>
          <w:lang w:val="nl-NL"/>
        </w:rPr>
        <w:t>,</w:t>
      </w:r>
      <w:r w:rsidRPr="00894BF8">
        <w:rPr>
          <w:rFonts w:ascii="Open Sans" w:hAnsi="Open Sans" w:cs="Open Sans"/>
          <w:color w:val="403000" w:themeColor="accent4" w:themeShade="40"/>
          <w:szCs w:val="18"/>
          <w:lang w:val="nl-NL"/>
        </w:rPr>
        <w:tab/>
        <w:t xml:space="preserve">Verwerker, </w:t>
      </w:r>
    </w:p>
    <w:p w14:paraId="09926128" w14:textId="6C246D49" w:rsidR="00F21189" w:rsidRPr="00894BF8" w:rsidRDefault="00F21189" w:rsidP="00F21189">
      <w:pPr>
        <w:pStyle w:val="NoSpacing"/>
        <w:tabs>
          <w:tab w:val="left" w:pos="4820"/>
        </w:tabs>
        <w:spacing w:beforeLines="40" w:before="96" w:afterLines="20" w:after="48"/>
        <w:ind w:right="-144"/>
        <w:contextualSpacing/>
        <w:rPr>
          <w:rFonts w:ascii="Open Sans" w:hAnsi="Open Sans" w:cs="Open Sans"/>
          <w:color w:val="403000" w:themeColor="accent4" w:themeShade="40"/>
          <w:szCs w:val="18"/>
          <w:lang w:val="nl-NL"/>
        </w:rPr>
      </w:pPr>
    </w:p>
    <w:p w14:paraId="4FA5EF28" w14:textId="1AA03419" w:rsidR="00F21189" w:rsidRPr="00894BF8" w:rsidRDefault="00F21189" w:rsidP="00F21189">
      <w:pPr>
        <w:pStyle w:val="NoSpacing"/>
        <w:tabs>
          <w:tab w:val="left" w:pos="4820"/>
        </w:tabs>
        <w:spacing w:beforeLines="40" w:before="96" w:afterLines="20" w:after="48"/>
        <w:ind w:right="-144"/>
        <w:contextualSpacing/>
        <w:jc w:val="center"/>
        <w:rPr>
          <w:rFonts w:ascii="Open Sans" w:hAnsi="Open Sans" w:cs="Open Sans"/>
          <w:color w:val="403000" w:themeColor="accent4" w:themeShade="40"/>
          <w:szCs w:val="18"/>
          <w:lang w:val="nl-NL"/>
        </w:rPr>
      </w:pPr>
    </w:p>
    <w:p w14:paraId="2BD4B124" w14:textId="77777777" w:rsidR="00F21189" w:rsidRPr="00894BF8" w:rsidRDefault="00F21189" w:rsidP="00F21189">
      <w:pPr>
        <w:pStyle w:val="NoSpacing"/>
        <w:tabs>
          <w:tab w:val="left" w:pos="4820"/>
        </w:tabs>
        <w:spacing w:beforeLines="40" w:before="96" w:afterLines="20" w:after="48"/>
        <w:ind w:right="-144"/>
        <w:contextualSpacing/>
        <w:rPr>
          <w:rFonts w:ascii="Open Sans" w:hAnsi="Open Sans" w:cs="Open Sans"/>
          <w:color w:val="403000" w:themeColor="accent4" w:themeShade="40"/>
          <w:szCs w:val="18"/>
          <w:lang w:val="nl-NL"/>
        </w:rPr>
      </w:pPr>
    </w:p>
    <w:p w14:paraId="199C833A" w14:textId="77777777" w:rsidR="00F21189" w:rsidRDefault="00F21189" w:rsidP="00F21189">
      <w:pPr>
        <w:pStyle w:val="NoSpacing"/>
        <w:tabs>
          <w:tab w:val="left" w:pos="4820"/>
        </w:tabs>
        <w:spacing w:beforeLines="40" w:before="96" w:afterLines="20" w:after="48"/>
        <w:ind w:right="-144"/>
        <w:contextualSpacing/>
        <w:rPr>
          <w:rFonts w:ascii="Open Sans" w:hAnsi="Open Sans" w:cs="Open Sans"/>
          <w:color w:val="403000" w:themeColor="accent4" w:themeShade="40"/>
          <w:szCs w:val="18"/>
          <w:lang w:val="nl-NL"/>
        </w:rPr>
      </w:pPr>
    </w:p>
    <w:p w14:paraId="0D7E703A" w14:textId="77777777" w:rsidR="00F21189" w:rsidRPr="00894BF8" w:rsidRDefault="00F21189" w:rsidP="00F21189">
      <w:pPr>
        <w:pStyle w:val="NoSpacing"/>
        <w:tabs>
          <w:tab w:val="left" w:pos="4820"/>
        </w:tabs>
        <w:spacing w:beforeLines="40" w:before="96" w:afterLines="20" w:after="48"/>
        <w:ind w:right="-144"/>
        <w:contextualSpacing/>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ab/>
      </w:r>
      <w:r w:rsidRPr="00894BF8">
        <w:rPr>
          <w:rFonts w:ascii="Open Sans" w:hAnsi="Open Sans" w:cs="Open Sans"/>
          <w:color w:val="403000" w:themeColor="accent4" w:themeShade="40"/>
          <w:szCs w:val="18"/>
          <w:lang w:val="nl-NL"/>
        </w:rPr>
        <w:tab/>
      </w:r>
      <w:r w:rsidRPr="00894BF8">
        <w:rPr>
          <w:rFonts w:ascii="Open Sans" w:hAnsi="Open Sans" w:cs="Open Sans"/>
          <w:color w:val="403000" w:themeColor="accent4" w:themeShade="40"/>
          <w:szCs w:val="18"/>
          <w:lang w:val="nl-NL"/>
        </w:rPr>
        <w:tab/>
      </w:r>
    </w:p>
    <w:p w14:paraId="46A41B5E" w14:textId="77777777" w:rsidR="00F21189" w:rsidRPr="00894BF8" w:rsidRDefault="00F21189" w:rsidP="00F21189">
      <w:pPr>
        <w:pStyle w:val="NoSpacing"/>
        <w:tabs>
          <w:tab w:val="left" w:pos="851"/>
          <w:tab w:val="left" w:pos="4820"/>
          <w:tab w:val="left" w:pos="5670"/>
        </w:tabs>
        <w:spacing w:beforeLines="40" w:before="96" w:afterLines="20" w:after="48"/>
        <w:ind w:right="-144"/>
        <w:contextualSpacing/>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Naam:</w:t>
      </w:r>
      <w:r w:rsidRPr="00894BF8">
        <w:rPr>
          <w:rFonts w:ascii="Open Sans" w:hAnsi="Open Sans" w:cs="Open Sans"/>
          <w:color w:val="403000" w:themeColor="accent4" w:themeShade="40"/>
          <w:szCs w:val="18"/>
          <w:lang w:val="nl-NL"/>
        </w:rPr>
        <w:tab/>
      </w:r>
      <w:r>
        <w:rPr>
          <w:rFonts w:ascii="Open Sans" w:hAnsi="Open Sans" w:cs="Open Sans"/>
          <w:color w:val="403000" w:themeColor="accent4" w:themeShade="40"/>
          <w:szCs w:val="18"/>
          <w:lang w:val="nl-NL"/>
        </w:rPr>
        <w:tab/>
      </w:r>
      <w:r w:rsidRPr="00894BF8">
        <w:rPr>
          <w:rFonts w:ascii="Open Sans" w:hAnsi="Open Sans" w:cs="Open Sans"/>
          <w:color w:val="403000" w:themeColor="accent4" w:themeShade="40"/>
          <w:szCs w:val="18"/>
          <w:lang w:val="nl-NL"/>
        </w:rPr>
        <w:t>Naam:</w:t>
      </w:r>
      <w:r w:rsidRPr="00894BF8">
        <w:rPr>
          <w:rFonts w:ascii="Open Sans" w:hAnsi="Open Sans" w:cs="Open Sans"/>
          <w:color w:val="403000" w:themeColor="accent4" w:themeShade="40"/>
          <w:szCs w:val="18"/>
          <w:lang w:val="nl-NL"/>
        </w:rPr>
        <w:tab/>
      </w:r>
      <w:r w:rsidRPr="001D26F5">
        <w:rPr>
          <w:rFonts w:ascii="Open Sans" w:hAnsi="Open Sans" w:cs="Open Sans"/>
          <w:color w:val="403000" w:themeColor="accent4" w:themeShade="40"/>
          <w:szCs w:val="18"/>
          <w:lang w:val="nl-NL"/>
        </w:rPr>
        <w:t>A.M.W. Holl</w:t>
      </w:r>
    </w:p>
    <w:p w14:paraId="20BAB044" w14:textId="77777777" w:rsidR="00F21189" w:rsidRPr="00894BF8" w:rsidRDefault="00F21189" w:rsidP="00F21189">
      <w:pPr>
        <w:pStyle w:val="NoSpacing"/>
        <w:tabs>
          <w:tab w:val="left" w:pos="851"/>
          <w:tab w:val="left" w:pos="4820"/>
          <w:tab w:val="left" w:pos="5670"/>
        </w:tabs>
        <w:spacing w:beforeLines="40" w:before="96" w:afterLines="20" w:after="48"/>
        <w:ind w:right="-144"/>
        <w:contextualSpacing/>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Functie:</w:t>
      </w:r>
      <w:r w:rsidRPr="00894BF8">
        <w:rPr>
          <w:rFonts w:ascii="Open Sans" w:hAnsi="Open Sans" w:cs="Open Sans"/>
          <w:color w:val="403000" w:themeColor="accent4" w:themeShade="40"/>
          <w:szCs w:val="18"/>
          <w:lang w:val="nl-NL"/>
        </w:rPr>
        <w:tab/>
      </w:r>
      <w:r>
        <w:rPr>
          <w:rFonts w:ascii="Open Sans" w:hAnsi="Open Sans" w:cs="Open Sans"/>
          <w:color w:val="403000" w:themeColor="accent4" w:themeShade="40"/>
          <w:szCs w:val="18"/>
          <w:lang w:val="nl-NL"/>
        </w:rPr>
        <w:tab/>
      </w:r>
      <w:r w:rsidRPr="00894BF8">
        <w:rPr>
          <w:rFonts w:ascii="Open Sans" w:hAnsi="Open Sans" w:cs="Open Sans"/>
          <w:color w:val="403000" w:themeColor="accent4" w:themeShade="40"/>
          <w:szCs w:val="18"/>
          <w:lang w:val="nl-NL"/>
        </w:rPr>
        <w:t xml:space="preserve">Functie: </w:t>
      </w:r>
      <w:r>
        <w:rPr>
          <w:rFonts w:ascii="Open Sans" w:hAnsi="Open Sans" w:cs="Open Sans"/>
          <w:color w:val="403000" w:themeColor="accent4" w:themeShade="40"/>
          <w:szCs w:val="18"/>
          <w:lang w:val="nl-NL"/>
        </w:rPr>
        <w:tab/>
      </w:r>
      <w:r w:rsidRPr="001D26F5">
        <w:rPr>
          <w:rFonts w:ascii="Open Sans" w:hAnsi="Open Sans" w:cs="Open Sans"/>
          <w:color w:val="403000" w:themeColor="accent4" w:themeShade="40"/>
          <w:szCs w:val="18"/>
          <w:lang w:val="nl-NL"/>
        </w:rPr>
        <w:t>directeur</w:t>
      </w:r>
    </w:p>
    <w:p w14:paraId="3508EB08" w14:textId="77777777" w:rsidR="00F21189" w:rsidRDefault="00F21189" w:rsidP="00F21189">
      <w:pPr>
        <w:pStyle w:val="NoSpacing"/>
        <w:tabs>
          <w:tab w:val="left" w:pos="851"/>
          <w:tab w:val="left" w:pos="4820"/>
          <w:tab w:val="left" w:pos="5670"/>
        </w:tabs>
        <w:spacing w:beforeLines="40" w:before="96" w:afterLines="20" w:after="48"/>
        <w:ind w:right="-144"/>
        <w:contextualSpacing/>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Datum:</w:t>
      </w:r>
      <w:r w:rsidRPr="00894BF8">
        <w:rPr>
          <w:rFonts w:ascii="Open Sans" w:hAnsi="Open Sans" w:cs="Open Sans"/>
          <w:color w:val="403000" w:themeColor="accent4" w:themeShade="40"/>
          <w:szCs w:val="18"/>
          <w:lang w:val="nl-NL"/>
        </w:rPr>
        <w:tab/>
      </w:r>
      <w:r>
        <w:rPr>
          <w:rFonts w:ascii="Open Sans" w:hAnsi="Open Sans" w:cs="Open Sans"/>
          <w:color w:val="403000" w:themeColor="accent4" w:themeShade="40"/>
          <w:szCs w:val="18"/>
          <w:lang w:val="nl-NL"/>
        </w:rPr>
        <w:tab/>
      </w:r>
      <w:r w:rsidRPr="00894BF8">
        <w:rPr>
          <w:rFonts w:ascii="Open Sans" w:hAnsi="Open Sans" w:cs="Open Sans"/>
          <w:color w:val="403000" w:themeColor="accent4" w:themeShade="40"/>
          <w:szCs w:val="18"/>
          <w:lang w:val="nl-NL"/>
        </w:rPr>
        <w:t>Datum:</w:t>
      </w:r>
      <w:r w:rsidRPr="00894BF8">
        <w:rPr>
          <w:rFonts w:ascii="Open Sans" w:hAnsi="Open Sans" w:cs="Open Sans"/>
          <w:color w:val="403000" w:themeColor="accent4" w:themeShade="40"/>
          <w:szCs w:val="18"/>
          <w:lang w:val="nl-NL"/>
        </w:rPr>
        <w:tab/>
      </w:r>
    </w:p>
    <w:p w14:paraId="322D72F1" w14:textId="77777777" w:rsidR="00F21189" w:rsidRPr="00894BF8" w:rsidRDefault="00F21189" w:rsidP="00F21189">
      <w:pPr>
        <w:pStyle w:val="NoSpacing"/>
        <w:tabs>
          <w:tab w:val="left" w:pos="851"/>
          <w:tab w:val="left" w:pos="4820"/>
          <w:tab w:val="left" w:pos="5670"/>
        </w:tabs>
        <w:spacing w:beforeLines="40" w:before="96" w:afterLines="20" w:after="48"/>
        <w:ind w:right="-144"/>
        <w:contextualSpacing/>
        <w:rPr>
          <w:rFonts w:ascii="Open Sans" w:hAnsi="Open Sans" w:cs="Open Sans"/>
          <w:color w:val="403000" w:themeColor="accent4" w:themeShade="40"/>
          <w:szCs w:val="18"/>
          <w:lang w:val="nl-NL"/>
        </w:rPr>
      </w:pPr>
    </w:p>
    <w:p w14:paraId="43598F66" w14:textId="77777777" w:rsidR="00F21189" w:rsidRDefault="00F21189" w:rsidP="00F21189">
      <w:pPr>
        <w:pStyle w:val="NoSpacing"/>
        <w:spacing w:beforeLines="40" w:before="96" w:afterLines="20" w:after="48"/>
        <w:ind w:right="-144"/>
        <w:contextualSpacing/>
        <w:outlineLvl w:val="0"/>
        <w:rPr>
          <w:rFonts w:ascii="Open Sans" w:hAnsi="Open Sans" w:cs="Open Sans"/>
          <w:color w:val="403000" w:themeColor="accent4" w:themeShade="40"/>
          <w:szCs w:val="18"/>
          <w:lang w:val="nl-NL"/>
        </w:rPr>
      </w:pPr>
    </w:p>
    <w:p w14:paraId="149F43A5" w14:textId="58BF70DC" w:rsidR="00F21189" w:rsidRPr="00894BF8" w:rsidRDefault="00F21189" w:rsidP="00F21189">
      <w:pPr>
        <w:pStyle w:val="NoSpacing"/>
        <w:spacing w:beforeLines="40" w:before="96" w:afterLines="20" w:after="48"/>
        <w:ind w:right="-144"/>
        <w:contextualSpacing/>
        <w:outlineLvl w:val="0"/>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Bijlage 1: Privacybijsluiter </w:t>
      </w:r>
    </w:p>
    <w:p w14:paraId="3CF2DE58" w14:textId="77777777" w:rsidR="00F21189" w:rsidRPr="00894BF8" w:rsidRDefault="00F21189" w:rsidP="00F21189">
      <w:pPr>
        <w:pStyle w:val="NoSpacing"/>
        <w:spacing w:beforeLines="40" w:before="96" w:afterLines="20" w:after="48"/>
        <w:ind w:right="-144"/>
        <w:contextualSpacing/>
        <w:rPr>
          <w:rFonts w:ascii="Open Sans" w:hAnsi="Open Sans" w:cs="Open Sans"/>
          <w:color w:val="403000" w:themeColor="accent4" w:themeShade="40"/>
          <w:szCs w:val="18"/>
          <w:lang w:val="nl-NL"/>
        </w:rPr>
      </w:pPr>
      <w:r w:rsidRPr="00894BF8">
        <w:rPr>
          <w:rFonts w:ascii="Open Sans" w:hAnsi="Open Sans" w:cs="Open Sans"/>
          <w:color w:val="403000" w:themeColor="accent4" w:themeShade="40"/>
          <w:szCs w:val="18"/>
          <w:lang w:val="nl-NL"/>
        </w:rPr>
        <w:t xml:space="preserve">Bijlage 2: Beveiligingsbijlage </w:t>
      </w:r>
    </w:p>
    <w:p w14:paraId="1302A883" w14:textId="53CF88B5" w:rsidR="00595036" w:rsidRDefault="00D3784E" w:rsidP="00595036">
      <w:pPr>
        <w:pStyle w:val="Heading2"/>
        <w:rPr>
          <w:lang w:val="nl-NL"/>
        </w:rPr>
      </w:pPr>
      <w:r w:rsidRPr="00F036AB">
        <w:rPr>
          <w:lang w:val="nl-NL"/>
        </w:rPr>
        <w:t>Bijlage 1</w:t>
      </w:r>
    </w:p>
    <w:p w14:paraId="68076FCC" w14:textId="24CC0243" w:rsidR="00D3784E" w:rsidRPr="00F036AB" w:rsidRDefault="00D3784E" w:rsidP="00D3784E">
      <w:pPr>
        <w:rPr>
          <w:rStyle w:val="Heading1Char"/>
          <w:lang w:val="nl-NL"/>
        </w:rPr>
      </w:pPr>
      <w:r w:rsidRPr="00F036AB">
        <w:rPr>
          <w:rStyle w:val="Heading1Char"/>
          <w:lang w:val="nl-NL"/>
        </w:rPr>
        <w:t>Privacy Bijsluiter</w:t>
      </w:r>
      <w:r w:rsidR="00D733A2" w:rsidRPr="00F036AB">
        <w:rPr>
          <w:rStyle w:val="Heading1Char"/>
          <w:lang w:val="nl-NL"/>
        </w:rPr>
        <w:t xml:space="preserve"> Digitale Leermiddelen</w:t>
      </w:r>
      <w:r w:rsidRPr="00F036AB">
        <w:rPr>
          <w:rStyle w:val="Heading1Char"/>
          <w:lang w:val="nl-NL"/>
        </w:rPr>
        <w:br/>
      </w:r>
      <w:r w:rsidR="00E64689">
        <w:rPr>
          <w:rStyle w:val="Heading1Char"/>
          <w:lang w:val="nl-NL"/>
        </w:rPr>
        <w:t>Boom testcentrum</w:t>
      </w:r>
      <w:r w:rsidR="00595036" w:rsidRPr="00F036AB">
        <w:rPr>
          <w:rStyle w:val="Heading1Char"/>
          <w:lang w:val="nl-NL"/>
        </w:rPr>
        <w:t xml:space="preserve">, </w:t>
      </w:r>
      <w:r w:rsidR="00C9533C">
        <w:rPr>
          <w:rStyle w:val="Heading1Char"/>
          <w:lang w:val="nl-NL"/>
        </w:rPr>
        <w:t>Boom uitgevers Amsterdam B.V.</w:t>
      </w:r>
    </w:p>
    <w:p w14:paraId="0058C685" w14:textId="114CEDCE" w:rsidR="00D3784E" w:rsidRPr="00F036AB" w:rsidRDefault="00386586" w:rsidP="00D3784E">
      <w:pPr>
        <w:rPr>
          <w:lang w:val="nl-NL"/>
        </w:rPr>
      </w:pPr>
      <w:r>
        <w:rPr>
          <w:lang w:val="nl-NL"/>
        </w:rPr>
        <w:t>Boom uitgevers Amsterdam</w:t>
      </w:r>
      <w:r w:rsidR="00D3784E" w:rsidRPr="00F036AB">
        <w:rPr>
          <w:lang w:val="nl-NL"/>
        </w:rPr>
        <w:t xml:space="preserve"> is een educatieve uitgeverij die verschillende </w:t>
      </w:r>
      <w:r w:rsidR="00EA4D6A" w:rsidRPr="00F036AB">
        <w:rPr>
          <w:lang w:val="nl-NL"/>
        </w:rPr>
        <w:t>digitale producten en diensten (‘</w:t>
      </w:r>
      <w:r w:rsidR="00D3784E" w:rsidRPr="00F036AB">
        <w:rPr>
          <w:b/>
          <w:lang w:val="nl-NL"/>
        </w:rPr>
        <w:t>digitale leermiddelen</w:t>
      </w:r>
      <w:r w:rsidR="00EA4D6A" w:rsidRPr="00F036AB">
        <w:rPr>
          <w:lang w:val="nl-NL"/>
        </w:rPr>
        <w:t>’)</w:t>
      </w:r>
      <w:r w:rsidR="00D3784E" w:rsidRPr="00F036AB">
        <w:rPr>
          <w:lang w:val="nl-NL"/>
        </w:rPr>
        <w:t xml:space="preserve"> aanbiedt voor gebruik in het onderwijs</w:t>
      </w:r>
      <w:r w:rsidR="00772550" w:rsidRPr="00F036AB">
        <w:rPr>
          <w:lang w:val="nl-NL"/>
        </w:rPr>
        <w:t xml:space="preserve"> </w:t>
      </w:r>
      <w:r w:rsidR="00D3784E" w:rsidRPr="00F036AB">
        <w:rPr>
          <w:lang w:val="nl-NL"/>
        </w:rPr>
        <w:t xml:space="preserve">waarbij persoonsgegevens worden verwerkt. Wij vinden het belangrijk om uiterst zorgvuldig met </w:t>
      </w:r>
      <w:r w:rsidR="00C44029" w:rsidRPr="00F036AB">
        <w:rPr>
          <w:lang w:val="nl-NL"/>
        </w:rPr>
        <w:t xml:space="preserve">deze </w:t>
      </w:r>
      <w:r w:rsidR="00D3784E" w:rsidRPr="00F036AB">
        <w:rPr>
          <w:lang w:val="nl-NL"/>
        </w:rPr>
        <w:t>persoonsgegevens om te gaan.</w:t>
      </w:r>
    </w:p>
    <w:p w14:paraId="68C494E3" w14:textId="1C2DB2FC" w:rsidR="00D56AC3" w:rsidRPr="00386586" w:rsidRDefault="00386586" w:rsidP="00D3784E">
      <w:pPr>
        <w:rPr>
          <w:lang w:val="nl-NL"/>
        </w:rPr>
      </w:pPr>
      <w:r>
        <w:rPr>
          <w:lang w:val="nl-NL"/>
        </w:rPr>
        <w:t>Boom uitgevers Amsterdam</w:t>
      </w:r>
      <w:r w:rsidR="00D3784E" w:rsidRPr="00F036AB">
        <w:rPr>
          <w:lang w:val="nl-NL"/>
        </w:rPr>
        <w:t xml:space="preserve"> heeft het </w:t>
      </w:r>
      <w:r w:rsidR="00E95A48" w:rsidRPr="00F036AB">
        <w:rPr>
          <w:lang w:val="nl-NL"/>
        </w:rPr>
        <w:t>Privacyreglement van haar brancheorganisatie</w:t>
      </w:r>
      <w:r w:rsidR="00D56AC3" w:rsidRPr="00F036AB">
        <w:rPr>
          <w:lang w:val="nl-NL"/>
        </w:rPr>
        <w:t xml:space="preserve"> GEU en het </w:t>
      </w:r>
      <w:r w:rsidR="00D3784E" w:rsidRPr="00F036AB">
        <w:rPr>
          <w:lang w:val="nl-NL"/>
        </w:rPr>
        <w:t xml:space="preserve">‘Convenant Digitale Onderwijsmiddelen en Privacy - Leermiddelen en Toetsen’ onderschreven. In dit convenant is </w:t>
      </w:r>
      <w:r w:rsidR="00EF1CDB" w:rsidRPr="00F036AB">
        <w:rPr>
          <w:lang w:val="nl-NL"/>
        </w:rPr>
        <w:t xml:space="preserve">tussen aanbieders en de </w:t>
      </w:r>
      <w:r w:rsidR="00EA4D6A" w:rsidRPr="00F036AB">
        <w:rPr>
          <w:lang w:val="nl-NL"/>
        </w:rPr>
        <w:t>onderwijs</w:t>
      </w:r>
      <w:r w:rsidR="00EF1CDB" w:rsidRPr="00F036AB">
        <w:rPr>
          <w:lang w:val="nl-NL"/>
        </w:rPr>
        <w:t xml:space="preserve">sectorraden </w:t>
      </w:r>
      <w:r w:rsidR="00D3784E" w:rsidRPr="00F036AB">
        <w:rPr>
          <w:lang w:val="nl-NL"/>
        </w:rPr>
        <w:t xml:space="preserve">vastgelegd dat </w:t>
      </w:r>
      <w:r w:rsidR="00EF1CDB" w:rsidRPr="00F036AB">
        <w:rPr>
          <w:lang w:val="nl-NL"/>
        </w:rPr>
        <w:t>een</w:t>
      </w:r>
      <w:r w:rsidR="00D3784E" w:rsidRPr="00F036AB">
        <w:rPr>
          <w:lang w:val="nl-NL"/>
        </w:rPr>
        <w:t xml:space="preserve"> onderwijsinstelling </w:t>
      </w:r>
      <w:r w:rsidR="00EF1CDB" w:rsidRPr="00F036AB">
        <w:rPr>
          <w:lang w:val="nl-NL"/>
        </w:rPr>
        <w:t xml:space="preserve">in juridische zin de </w:t>
      </w:r>
      <w:r w:rsidR="00EF1CDB" w:rsidRPr="00386586">
        <w:rPr>
          <w:lang w:val="nl-NL"/>
        </w:rPr>
        <w:t>‘</w:t>
      </w:r>
      <w:r w:rsidR="00F929FF" w:rsidRPr="00386586">
        <w:rPr>
          <w:lang w:val="nl-NL"/>
        </w:rPr>
        <w:t>verwerkersverantwoordelijke</w:t>
      </w:r>
      <w:r w:rsidR="00EF1CDB" w:rsidRPr="00386586">
        <w:rPr>
          <w:lang w:val="nl-NL"/>
        </w:rPr>
        <w:t xml:space="preserve">’ is voor de verwerking van persoonsgegevens. Daardoor hebben en houden onderwijsinstellingen </w:t>
      </w:r>
      <w:r w:rsidR="00D3784E" w:rsidRPr="00386586">
        <w:rPr>
          <w:lang w:val="nl-NL"/>
        </w:rPr>
        <w:t xml:space="preserve">zeggenschap over de gegevens die binnen leermiddelen worden verwerkt. </w:t>
      </w:r>
      <w:r w:rsidRPr="00386586">
        <w:rPr>
          <w:lang w:val="nl-NL"/>
        </w:rPr>
        <w:t>Boom uitgevers Amsterdam</w:t>
      </w:r>
      <w:r w:rsidR="00D3784E" w:rsidRPr="00386586">
        <w:rPr>
          <w:lang w:val="nl-NL"/>
        </w:rPr>
        <w:t xml:space="preserve"> is een ‘</w:t>
      </w:r>
      <w:r w:rsidR="00F929FF" w:rsidRPr="00386586">
        <w:rPr>
          <w:lang w:val="nl-NL"/>
        </w:rPr>
        <w:t>verwerker</w:t>
      </w:r>
      <w:r w:rsidR="00D3784E" w:rsidRPr="00386586">
        <w:rPr>
          <w:lang w:val="nl-NL"/>
        </w:rPr>
        <w:t xml:space="preserve">’, die uitvoering geeft aan de opdracht van </w:t>
      </w:r>
      <w:r w:rsidR="00EA4D6A" w:rsidRPr="00386586">
        <w:rPr>
          <w:lang w:val="nl-NL"/>
        </w:rPr>
        <w:t>een</w:t>
      </w:r>
      <w:r w:rsidR="00D3784E" w:rsidRPr="00386586">
        <w:rPr>
          <w:lang w:val="nl-NL"/>
        </w:rPr>
        <w:t xml:space="preserve"> </w:t>
      </w:r>
      <w:r w:rsidR="00EA4D6A" w:rsidRPr="00386586">
        <w:rPr>
          <w:lang w:val="nl-NL"/>
        </w:rPr>
        <w:t>onderwijsinstelling</w:t>
      </w:r>
      <w:r w:rsidR="00D3784E" w:rsidRPr="00386586">
        <w:rPr>
          <w:lang w:val="nl-NL"/>
        </w:rPr>
        <w:t>.</w:t>
      </w:r>
      <w:r w:rsidR="00D56AC3" w:rsidRPr="00386586">
        <w:rPr>
          <w:lang w:val="nl-NL"/>
        </w:rPr>
        <w:t xml:space="preserve"> </w:t>
      </w:r>
    </w:p>
    <w:p w14:paraId="5890A7A0" w14:textId="689DBBF3" w:rsidR="00D3784E" w:rsidRDefault="00C44029" w:rsidP="00D3784E">
      <w:pPr>
        <w:rPr>
          <w:lang w:val="nl-NL"/>
        </w:rPr>
      </w:pPr>
      <w:r w:rsidRPr="00386586">
        <w:rPr>
          <w:lang w:val="nl-NL"/>
        </w:rPr>
        <w:t xml:space="preserve">De afspraken die hiervoor gelden, zijn vastgelegd in de </w:t>
      </w:r>
      <w:r w:rsidR="00F929FF" w:rsidRPr="00386586">
        <w:rPr>
          <w:lang w:val="nl-NL"/>
        </w:rPr>
        <w:t>Verwerker</w:t>
      </w:r>
      <w:r w:rsidRPr="00386586">
        <w:rPr>
          <w:lang w:val="nl-NL"/>
        </w:rPr>
        <w:t xml:space="preserve">sovereenkomst van </w:t>
      </w:r>
      <w:r w:rsidR="00386586" w:rsidRPr="00386586">
        <w:rPr>
          <w:lang w:val="nl-NL"/>
        </w:rPr>
        <w:t>Boom uitgevers Amsterdam</w:t>
      </w:r>
      <w:r w:rsidRPr="00386586">
        <w:rPr>
          <w:lang w:val="nl-NL"/>
        </w:rPr>
        <w:t xml:space="preserve">. </w:t>
      </w:r>
      <w:r w:rsidR="00FE0D88" w:rsidRPr="00386586">
        <w:rPr>
          <w:lang w:val="nl-NL"/>
        </w:rPr>
        <w:t xml:space="preserve">Deze Privacy Bijsluiter vormt een onlosmakelijk onderdeel van de </w:t>
      </w:r>
      <w:r w:rsidR="00F929FF" w:rsidRPr="00386586">
        <w:rPr>
          <w:lang w:val="nl-NL"/>
        </w:rPr>
        <w:t>Verwerkersovereenkomst</w:t>
      </w:r>
      <w:r w:rsidR="00FE0D88" w:rsidRPr="00386586">
        <w:rPr>
          <w:lang w:val="nl-NL"/>
        </w:rPr>
        <w:t xml:space="preserve">. </w:t>
      </w:r>
      <w:r w:rsidR="00D3784E" w:rsidRPr="00386586">
        <w:rPr>
          <w:lang w:val="nl-NL"/>
        </w:rPr>
        <w:t>In</w:t>
      </w:r>
      <w:r w:rsidR="00D3784E" w:rsidRPr="00F036AB">
        <w:rPr>
          <w:lang w:val="nl-NL"/>
        </w:rPr>
        <w:t xml:space="preserve"> deze </w:t>
      </w:r>
      <w:r w:rsidR="00FE0D88" w:rsidRPr="00F036AB">
        <w:rPr>
          <w:lang w:val="nl-NL"/>
        </w:rPr>
        <w:t>b</w:t>
      </w:r>
      <w:r w:rsidR="00D3784E" w:rsidRPr="00F036AB">
        <w:rPr>
          <w:lang w:val="nl-NL"/>
        </w:rPr>
        <w:t xml:space="preserve">ijsluiter richten wij ons tot u als </w:t>
      </w:r>
      <w:r w:rsidR="00EA4D6A" w:rsidRPr="00F036AB">
        <w:rPr>
          <w:lang w:val="nl-NL"/>
        </w:rPr>
        <w:t xml:space="preserve">onderwijsinstelling </w:t>
      </w:r>
      <w:r w:rsidR="00D3784E" w:rsidRPr="00F036AB">
        <w:rPr>
          <w:lang w:val="nl-NL"/>
        </w:rPr>
        <w:t xml:space="preserve">om u </w:t>
      </w:r>
      <w:r w:rsidRPr="00F036AB">
        <w:rPr>
          <w:lang w:val="nl-NL"/>
        </w:rPr>
        <w:t xml:space="preserve">meer specifiek </w:t>
      </w:r>
      <w:r w:rsidR="00D3784E" w:rsidRPr="00F036AB">
        <w:rPr>
          <w:lang w:val="nl-NL"/>
        </w:rPr>
        <w:t xml:space="preserve">te informeren over onze </w:t>
      </w:r>
      <w:r w:rsidR="00EA4D6A" w:rsidRPr="00F036AB">
        <w:rPr>
          <w:lang w:val="nl-NL"/>
        </w:rPr>
        <w:t>digitale leermiddelen</w:t>
      </w:r>
      <w:r w:rsidR="00D3784E" w:rsidRPr="00F036AB">
        <w:rPr>
          <w:lang w:val="nl-NL"/>
        </w:rPr>
        <w:t xml:space="preserve"> en </w:t>
      </w:r>
      <w:r w:rsidRPr="00F036AB">
        <w:rPr>
          <w:lang w:val="nl-NL"/>
        </w:rPr>
        <w:t xml:space="preserve">de </w:t>
      </w:r>
      <w:r w:rsidR="00D3784E" w:rsidRPr="00F036AB">
        <w:rPr>
          <w:lang w:val="nl-NL"/>
        </w:rPr>
        <w:t>bijbehorende gegevensverwerking</w:t>
      </w:r>
      <w:r w:rsidRPr="00F036AB">
        <w:rPr>
          <w:lang w:val="nl-NL"/>
        </w:rPr>
        <w:t>en</w:t>
      </w:r>
      <w:r w:rsidR="00D3784E" w:rsidRPr="00F036AB">
        <w:rPr>
          <w:lang w:val="nl-NL"/>
        </w:rPr>
        <w:t xml:space="preserve">. Daardoor wordt duidelijk welke opdracht u als </w:t>
      </w:r>
      <w:r w:rsidR="00EA4D6A" w:rsidRPr="00F036AB">
        <w:rPr>
          <w:lang w:val="nl-NL"/>
        </w:rPr>
        <w:t xml:space="preserve">onderwijsinstelling </w:t>
      </w:r>
      <w:r w:rsidR="00D3784E" w:rsidRPr="00F036AB">
        <w:rPr>
          <w:lang w:val="nl-NL"/>
        </w:rPr>
        <w:t xml:space="preserve">geeft aan </w:t>
      </w:r>
      <w:r w:rsidR="00386586">
        <w:rPr>
          <w:lang w:val="nl-NL"/>
        </w:rPr>
        <w:t>Boom uitgevers Amsterdam</w:t>
      </w:r>
      <w:r w:rsidR="00EF1CDB" w:rsidRPr="00F036AB">
        <w:rPr>
          <w:lang w:val="nl-NL"/>
        </w:rPr>
        <w:t xml:space="preserve"> om gegevens te verwerken</w:t>
      </w:r>
      <w:r w:rsidR="00D3784E" w:rsidRPr="00F036AB">
        <w:rPr>
          <w:lang w:val="nl-NL"/>
        </w:rPr>
        <w:t xml:space="preserve">. Deze Privacy Bijsluiter stelt u tevens in staat </w:t>
      </w:r>
      <w:r w:rsidRPr="00F036AB">
        <w:rPr>
          <w:lang w:val="nl-NL"/>
        </w:rPr>
        <w:t xml:space="preserve">om ouders en </w:t>
      </w:r>
      <w:r w:rsidR="00155F6D">
        <w:rPr>
          <w:lang w:val="nl-NL"/>
        </w:rPr>
        <w:t>onderwijsdeelnemers</w:t>
      </w:r>
      <w:r w:rsidR="00D3784E" w:rsidRPr="00F036AB">
        <w:rPr>
          <w:lang w:val="nl-NL"/>
        </w:rPr>
        <w:t xml:space="preserve"> te informeren over de verwerking van persoonsgegevens.</w:t>
      </w:r>
    </w:p>
    <w:p w14:paraId="06404CD2" w14:textId="32471A6A" w:rsidR="00692DE1" w:rsidRPr="00F036AB" w:rsidRDefault="00692DE1" w:rsidP="00D3784E">
      <w:pPr>
        <w:rPr>
          <w:lang w:val="nl-NL"/>
        </w:rPr>
      </w:pPr>
      <w:bookmarkStart w:id="3" w:name="_Hlk510188359"/>
      <w:r>
        <w:rPr>
          <w:lang w:val="nl-NL"/>
        </w:rPr>
        <w:t>Boom uitgevers Amsterdam is lid van de GEU en van de VDOD. Deze bijsluiter is opgesteld volgens het sjabloon van de GEU. Wij voldoen tevens aan de eisen die de VDOD aan hun leden stelt.</w:t>
      </w:r>
    </w:p>
    <w:bookmarkEnd w:id="3"/>
    <w:p w14:paraId="407B8136" w14:textId="77777777" w:rsidR="00D3784E" w:rsidRPr="00F036AB" w:rsidRDefault="00D3784E" w:rsidP="00D3784E">
      <w:pPr>
        <w:pStyle w:val="Heading2"/>
        <w:rPr>
          <w:lang w:val="nl-NL"/>
        </w:rPr>
      </w:pPr>
      <w:r w:rsidRPr="00F036AB">
        <w:rPr>
          <w:lang w:val="nl-NL"/>
        </w:rPr>
        <w:t>A. Algemene informatie</w:t>
      </w:r>
    </w:p>
    <w:tbl>
      <w:tblPr>
        <w:tblStyle w:val="TableGrid"/>
        <w:tblW w:w="0" w:type="auto"/>
        <w:tblLook w:val="04A0" w:firstRow="1" w:lastRow="0" w:firstColumn="1" w:lastColumn="0" w:noHBand="0" w:noVBand="1"/>
      </w:tblPr>
      <w:tblGrid>
        <w:gridCol w:w="4531"/>
        <w:gridCol w:w="4531"/>
      </w:tblGrid>
      <w:tr w:rsidR="00D3784E" w:rsidRPr="004814B0" w14:paraId="304E1482" w14:textId="77777777" w:rsidTr="00D3784E">
        <w:tc>
          <w:tcPr>
            <w:tcW w:w="4531" w:type="dxa"/>
          </w:tcPr>
          <w:p w14:paraId="5D18D785" w14:textId="77777777" w:rsidR="00D3784E" w:rsidRPr="00F036AB" w:rsidRDefault="00D3784E" w:rsidP="00D3784E">
            <w:pPr>
              <w:rPr>
                <w:lang w:val="nl-NL"/>
              </w:rPr>
            </w:pPr>
            <w:r w:rsidRPr="00F036AB">
              <w:rPr>
                <w:lang w:val="nl-NL"/>
              </w:rPr>
              <w:t xml:space="preserve">Naam product en/of dienst: </w:t>
            </w:r>
          </w:p>
        </w:tc>
        <w:tc>
          <w:tcPr>
            <w:tcW w:w="4531" w:type="dxa"/>
          </w:tcPr>
          <w:p w14:paraId="1D110088" w14:textId="0C5D78D4" w:rsidR="00D733A2" w:rsidRPr="00F036AB" w:rsidRDefault="00EF1CDB" w:rsidP="00B85D03">
            <w:pPr>
              <w:rPr>
                <w:lang w:val="nl-NL"/>
              </w:rPr>
            </w:pPr>
            <w:r w:rsidRPr="00F036AB">
              <w:rPr>
                <w:lang w:val="nl-NL"/>
              </w:rPr>
              <w:t xml:space="preserve">Deze Privacy Bijsluiter </w:t>
            </w:r>
            <w:r w:rsidR="00B85D03" w:rsidRPr="00F036AB">
              <w:rPr>
                <w:lang w:val="nl-NL"/>
              </w:rPr>
              <w:t xml:space="preserve">heeft </w:t>
            </w:r>
            <w:r w:rsidR="00B85D03" w:rsidRPr="00837D86">
              <w:rPr>
                <w:lang w:val="nl-NL"/>
              </w:rPr>
              <w:t>betrekking</w:t>
            </w:r>
            <w:r w:rsidRPr="00837D86">
              <w:rPr>
                <w:lang w:val="nl-NL"/>
              </w:rPr>
              <w:t xml:space="preserve"> op </w:t>
            </w:r>
            <w:r w:rsidR="00E64689">
              <w:rPr>
                <w:lang w:val="nl-NL"/>
              </w:rPr>
              <w:t>Boom testcentrum</w:t>
            </w:r>
            <w:r w:rsidR="008D4DF6" w:rsidRPr="00837D86">
              <w:rPr>
                <w:lang w:val="nl-NL"/>
              </w:rPr>
              <w:t xml:space="preserve"> </w:t>
            </w:r>
            <w:r w:rsidR="00D733A2" w:rsidRPr="00837D86">
              <w:rPr>
                <w:lang w:val="nl-NL"/>
              </w:rPr>
              <w:t xml:space="preserve">van </w:t>
            </w:r>
            <w:r w:rsidR="00386586">
              <w:rPr>
                <w:lang w:val="nl-NL"/>
              </w:rPr>
              <w:t>Boom uitgevers Amsterdam</w:t>
            </w:r>
            <w:r w:rsidRPr="00F036AB">
              <w:rPr>
                <w:lang w:val="nl-NL"/>
              </w:rPr>
              <w:t xml:space="preserve">. </w:t>
            </w:r>
          </w:p>
        </w:tc>
      </w:tr>
      <w:tr w:rsidR="00D3784E" w:rsidRPr="004814B0" w14:paraId="05CCA301" w14:textId="77777777" w:rsidTr="00D3784E">
        <w:tc>
          <w:tcPr>
            <w:tcW w:w="4531" w:type="dxa"/>
          </w:tcPr>
          <w:p w14:paraId="3E75946C" w14:textId="282AA57E" w:rsidR="00D3784E" w:rsidRPr="00F036AB" w:rsidRDefault="00D3784E" w:rsidP="00D3784E">
            <w:pPr>
              <w:rPr>
                <w:lang w:val="nl-NL"/>
              </w:rPr>
            </w:pPr>
            <w:r w:rsidRPr="00F036AB">
              <w:rPr>
                <w:lang w:val="nl-NL"/>
              </w:rPr>
              <w:t xml:space="preserve">Naam </w:t>
            </w:r>
            <w:r w:rsidR="00F929FF" w:rsidRPr="00386586">
              <w:rPr>
                <w:lang w:val="nl-NL"/>
              </w:rPr>
              <w:t>Verwerker</w:t>
            </w:r>
            <w:r w:rsidRPr="00F036AB">
              <w:rPr>
                <w:lang w:val="nl-NL"/>
              </w:rPr>
              <w:t xml:space="preserve"> en vestigingsgegevens:</w:t>
            </w:r>
          </w:p>
        </w:tc>
        <w:tc>
          <w:tcPr>
            <w:tcW w:w="4531" w:type="dxa"/>
          </w:tcPr>
          <w:p w14:paraId="3FCBBADE" w14:textId="61CB0F78" w:rsidR="00D3784E" w:rsidRPr="00F036AB" w:rsidRDefault="00E64689" w:rsidP="00D733A2">
            <w:pPr>
              <w:rPr>
                <w:lang w:val="nl-NL"/>
              </w:rPr>
            </w:pPr>
            <w:r>
              <w:rPr>
                <w:lang w:val="nl-NL"/>
              </w:rPr>
              <w:t>Boom uitgevers Amsterdam</w:t>
            </w:r>
            <w:r w:rsidR="006E5E5D" w:rsidRPr="00F036AB">
              <w:rPr>
                <w:lang w:val="nl-NL"/>
              </w:rPr>
              <w:t xml:space="preserve"> B.V.</w:t>
            </w:r>
            <w:r w:rsidR="00595036" w:rsidRPr="00F036AB">
              <w:rPr>
                <w:lang w:val="nl-NL"/>
              </w:rPr>
              <w:t xml:space="preserve">, </w:t>
            </w:r>
            <w:r>
              <w:rPr>
                <w:lang w:val="nl-NL"/>
              </w:rPr>
              <w:t>Amsterdam</w:t>
            </w:r>
            <w:r w:rsidR="00595036" w:rsidRPr="00F036AB">
              <w:rPr>
                <w:lang w:val="nl-NL"/>
              </w:rPr>
              <w:t>.</w:t>
            </w:r>
            <w:r w:rsidR="008D4DF6" w:rsidRPr="00F036AB">
              <w:rPr>
                <w:lang w:val="nl-NL"/>
              </w:rPr>
              <w:t xml:space="preserve"> </w:t>
            </w:r>
            <w:r w:rsidR="00386586">
              <w:rPr>
                <w:lang w:val="nl-NL"/>
              </w:rPr>
              <w:t>Boom uitgevers Amsterdam</w:t>
            </w:r>
            <w:r w:rsidR="008D4DF6" w:rsidRPr="00F036AB">
              <w:rPr>
                <w:lang w:val="nl-NL"/>
              </w:rPr>
              <w:t xml:space="preserve"> is een aanbieder van digitale leermiddelen.</w:t>
            </w:r>
          </w:p>
        </w:tc>
      </w:tr>
      <w:tr w:rsidR="00D3784E" w:rsidRPr="004814B0" w14:paraId="63880933" w14:textId="77777777" w:rsidTr="00D3784E">
        <w:tc>
          <w:tcPr>
            <w:tcW w:w="4531" w:type="dxa"/>
          </w:tcPr>
          <w:p w14:paraId="1696145D" w14:textId="77777777" w:rsidR="00D3784E" w:rsidRPr="00F036AB" w:rsidRDefault="00D3784E" w:rsidP="00D3784E">
            <w:pPr>
              <w:rPr>
                <w:lang w:val="nl-NL"/>
              </w:rPr>
            </w:pPr>
            <w:r w:rsidRPr="00F036AB">
              <w:rPr>
                <w:lang w:val="nl-NL"/>
              </w:rPr>
              <w:t>Beknopte uitleg en werking product en dienst:</w:t>
            </w:r>
          </w:p>
        </w:tc>
        <w:tc>
          <w:tcPr>
            <w:tcW w:w="4531" w:type="dxa"/>
          </w:tcPr>
          <w:p w14:paraId="2B1D6D20" w14:textId="0E108F3D" w:rsidR="00155F6D" w:rsidRDefault="00155F6D" w:rsidP="00155F6D">
            <w:pPr>
              <w:tabs>
                <w:tab w:val="left" w:pos="3686"/>
              </w:tabs>
              <w:spacing w:beforeLines="40" w:before="96" w:afterLines="20" w:after="48"/>
              <w:rPr>
                <w:rFonts w:asciiTheme="minorHAnsi" w:hAnsiTheme="minorHAnsi"/>
                <w:lang w:val="nl-NL"/>
              </w:rPr>
            </w:pPr>
            <w:r>
              <w:rPr>
                <w:rFonts w:asciiTheme="minorHAnsi" w:hAnsiTheme="minorHAnsi"/>
                <w:lang w:val="nl-NL"/>
              </w:rPr>
              <w:t>Online applicatie om tests, toetsen en vragenlijsten af te nemen, te scoren, te normeren en te rapporteren op individueel niveau en groepsniveau.</w:t>
            </w:r>
          </w:p>
          <w:p w14:paraId="4E8FB8A6" w14:textId="55C2BEC5" w:rsidR="008D4DF6" w:rsidRPr="00F036AB" w:rsidRDefault="00715077" w:rsidP="00155F6D">
            <w:pPr>
              <w:rPr>
                <w:lang w:val="nl-NL"/>
              </w:rPr>
            </w:pPr>
            <w:r w:rsidRPr="00F036AB">
              <w:rPr>
                <w:lang w:val="nl-NL"/>
              </w:rPr>
              <w:t>De verwerking van persoonsgegevens binnen deze producten en diensten heeft betrekking op:</w:t>
            </w:r>
            <w:r w:rsidR="00772550" w:rsidRPr="00F036AB">
              <w:rPr>
                <w:lang w:val="nl-NL"/>
              </w:rPr>
              <w:t xml:space="preserve"> </w:t>
            </w:r>
          </w:p>
          <w:p w14:paraId="7AABA47F" w14:textId="77777777" w:rsidR="00E91B57" w:rsidRPr="00F036AB" w:rsidRDefault="00020BF5">
            <w:pPr>
              <w:pStyle w:val="ListParagraph"/>
              <w:numPr>
                <w:ilvl w:val="0"/>
                <w:numId w:val="14"/>
              </w:numPr>
              <w:rPr>
                <w:lang w:val="nl-NL"/>
              </w:rPr>
            </w:pPr>
            <w:r w:rsidRPr="00F036AB">
              <w:rPr>
                <w:lang w:val="nl-NL"/>
              </w:rPr>
              <w:t>het</w:t>
            </w:r>
            <w:r w:rsidR="008D4DF6" w:rsidRPr="00F036AB">
              <w:rPr>
                <w:lang w:val="nl-NL"/>
              </w:rPr>
              <w:t xml:space="preserve"> toegang krijgen tot </w:t>
            </w:r>
            <w:r w:rsidRPr="00F036AB">
              <w:rPr>
                <w:lang w:val="nl-NL"/>
              </w:rPr>
              <w:t>producten door middel van een inlogprocedure;</w:t>
            </w:r>
          </w:p>
          <w:p w14:paraId="25D2A76E" w14:textId="05C3608B" w:rsidR="00E91B57" w:rsidRPr="00F036AB" w:rsidRDefault="00020BF5">
            <w:pPr>
              <w:pStyle w:val="ListParagraph"/>
              <w:numPr>
                <w:ilvl w:val="0"/>
                <w:numId w:val="14"/>
              </w:numPr>
              <w:rPr>
                <w:lang w:val="nl-NL"/>
              </w:rPr>
            </w:pPr>
            <w:r w:rsidRPr="00F036AB">
              <w:rPr>
                <w:lang w:val="nl-NL"/>
              </w:rPr>
              <w:t xml:space="preserve">het </w:t>
            </w:r>
            <w:r w:rsidR="009A6929">
              <w:rPr>
                <w:lang w:val="nl-NL"/>
              </w:rPr>
              <w:t>invullen en normeren van een test</w:t>
            </w:r>
            <w:r w:rsidR="008D4DF6" w:rsidRPr="00F036AB">
              <w:rPr>
                <w:lang w:val="nl-NL"/>
              </w:rPr>
              <w:t xml:space="preserve">. </w:t>
            </w:r>
          </w:p>
          <w:p w14:paraId="1E3E9FE0" w14:textId="56B813F4" w:rsidR="007C1CAD" w:rsidRPr="009A6929" w:rsidRDefault="00020BF5" w:rsidP="009A6929">
            <w:pPr>
              <w:pStyle w:val="ListParagraph"/>
              <w:numPr>
                <w:ilvl w:val="0"/>
                <w:numId w:val="14"/>
              </w:numPr>
              <w:rPr>
                <w:lang w:val="nl-NL"/>
              </w:rPr>
            </w:pPr>
            <w:r w:rsidRPr="00F036AB">
              <w:rPr>
                <w:lang w:val="nl-NL"/>
              </w:rPr>
              <w:t>het</w:t>
            </w:r>
            <w:r w:rsidR="008D4DF6" w:rsidRPr="00F036AB">
              <w:rPr>
                <w:lang w:val="nl-NL"/>
              </w:rPr>
              <w:t xml:space="preserve"> </w:t>
            </w:r>
            <w:r w:rsidRPr="00F036AB">
              <w:rPr>
                <w:lang w:val="nl-NL"/>
              </w:rPr>
              <w:t xml:space="preserve">terugkoppelen van </w:t>
            </w:r>
            <w:r w:rsidR="009A6929">
              <w:rPr>
                <w:lang w:val="nl-NL"/>
              </w:rPr>
              <w:t>de rapportage over</w:t>
            </w:r>
            <w:r w:rsidR="008D4DF6" w:rsidRPr="00F036AB">
              <w:rPr>
                <w:lang w:val="nl-NL"/>
              </w:rPr>
              <w:t xml:space="preserve"> </w:t>
            </w:r>
            <w:r w:rsidR="00155F6D">
              <w:rPr>
                <w:lang w:val="nl-NL"/>
              </w:rPr>
              <w:t>onderwijsdeelnemers</w:t>
            </w:r>
            <w:r w:rsidR="008D4DF6" w:rsidRPr="00F036AB">
              <w:rPr>
                <w:lang w:val="nl-NL"/>
              </w:rPr>
              <w:t xml:space="preserve"> aan een leerkracht.  </w:t>
            </w:r>
          </w:p>
        </w:tc>
      </w:tr>
      <w:tr w:rsidR="00D3784E" w:rsidRPr="004814B0" w14:paraId="7A035694" w14:textId="77777777" w:rsidTr="00D3784E">
        <w:tc>
          <w:tcPr>
            <w:tcW w:w="4531" w:type="dxa"/>
          </w:tcPr>
          <w:p w14:paraId="74D5C589" w14:textId="77777777" w:rsidR="00D3784E" w:rsidRPr="00F036AB" w:rsidRDefault="00D3784E" w:rsidP="00D3784E">
            <w:pPr>
              <w:rPr>
                <w:lang w:val="nl-NL"/>
              </w:rPr>
            </w:pPr>
            <w:r w:rsidRPr="00F036AB">
              <w:rPr>
                <w:lang w:val="nl-NL"/>
              </w:rPr>
              <w:t>Link naar uitgever en/of productpagina:</w:t>
            </w:r>
          </w:p>
        </w:tc>
        <w:tc>
          <w:tcPr>
            <w:tcW w:w="4531" w:type="dxa"/>
          </w:tcPr>
          <w:p w14:paraId="48081B12" w14:textId="0BB971D1" w:rsidR="00D3784E" w:rsidRPr="00F036AB" w:rsidRDefault="004814B0" w:rsidP="006E5E5D">
            <w:pPr>
              <w:rPr>
                <w:lang w:val="nl-NL"/>
              </w:rPr>
            </w:pPr>
            <w:hyperlink r:id="rId16" w:history="1">
              <w:r w:rsidR="00A90FA2" w:rsidRPr="002A0B55">
                <w:rPr>
                  <w:rStyle w:val="Hyperlink"/>
                  <w:lang w:val="nl-NL"/>
                </w:rPr>
                <w:t>www.bua.nl</w:t>
              </w:r>
            </w:hyperlink>
            <w:r w:rsidR="00A90FA2">
              <w:rPr>
                <w:lang w:val="nl-NL"/>
              </w:rPr>
              <w:t xml:space="preserve"> </w:t>
            </w:r>
            <w:r w:rsidR="00A90FA2" w:rsidRPr="00A90FA2">
              <w:rPr>
                <w:lang w:val="nl-NL"/>
              </w:rPr>
              <w:t>/</w:t>
            </w:r>
            <w:r w:rsidR="00A90FA2">
              <w:rPr>
                <w:lang w:val="nl-NL"/>
              </w:rPr>
              <w:t xml:space="preserve"> </w:t>
            </w:r>
            <w:hyperlink r:id="rId17" w:history="1">
              <w:r w:rsidR="00A90FA2" w:rsidRPr="002A0B55">
                <w:rPr>
                  <w:rStyle w:val="Hyperlink"/>
                  <w:lang w:val="nl-NL"/>
                </w:rPr>
                <w:t>www.boomtestcentrum.nl</w:t>
              </w:r>
            </w:hyperlink>
            <w:r w:rsidR="00155F6D" w:rsidRPr="00155F6D">
              <w:rPr>
                <w:lang w:val="nl-NL"/>
              </w:rPr>
              <w:t xml:space="preserve"> </w:t>
            </w:r>
          </w:p>
        </w:tc>
      </w:tr>
      <w:tr w:rsidR="00D3784E" w:rsidRPr="00E64689" w14:paraId="61867F55" w14:textId="77777777" w:rsidTr="00D3784E">
        <w:tc>
          <w:tcPr>
            <w:tcW w:w="4531" w:type="dxa"/>
          </w:tcPr>
          <w:p w14:paraId="6D1D722F" w14:textId="77777777" w:rsidR="00D3784E" w:rsidRPr="00F036AB" w:rsidRDefault="00D3784E" w:rsidP="00D3784E">
            <w:pPr>
              <w:rPr>
                <w:lang w:val="nl-NL"/>
              </w:rPr>
            </w:pPr>
            <w:r w:rsidRPr="00F036AB">
              <w:rPr>
                <w:lang w:val="nl-NL"/>
              </w:rPr>
              <w:t>Doelgroep:</w:t>
            </w:r>
          </w:p>
        </w:tc>
        <w:tc>
          <w:tcPr>
            <w:tcW w:w="4531" w:type="dxa"/>
          </w:tcPr>
          <w:p w14:paraId="1DB2702F" w14:textId="374A7974" w:rsidR="00D3784E" w:rsidRPr="00F036AB" w:rsidRDefault="00155F6D" w:rsidP="006622B5">
            <w:pPr>
              <w:rPr>
                <w:lang w:val="nl-NL"/>
              </w:rPr>
            </w:pPr>
            <w:r w:rsidRPr="00155F6D">
              <w:rPr>
                <w:lang w:val="nl-NL"/>
              </w:rPr>
              <w:t>PO, VO, MBO</w:t>
            </w:r>
          </w:p>
        </w:tc>
      </w:tr>
      <w:tr w:rsidR="00D3784E" w:rsidRPr="004814B0" w14:paraId="6128B9D9" w14:textId="77777777" w:rsidTr="00D3784E">
        <w:tc>
          <w:tcPr>
            <w:tcW w:w="4531" w:type="dxa"/>
          </w:tcPr>
          <w:p w14:paraId="7FCFCBEC" w14:textId="77777777" w:rsidR="00D3784E" w:rsidRPr="00F036AB" w:rsidRDefault="00D3784E" w:rsidP="00D3784E">
            <w:pPr>
              <w:rPr>
                <w:lang w:val="nl-NL"/>
              </w:rPr>
            </w:pPr>
            <w:r w:rsidRPr="00F036AB">
              <w:rPr>
                <w:lang w:val="nl-NL"/>
              </w:rPr>
              <w:t>Gebruikers:</w:t>
            </w:r>
          </w:p>
        </w:tc>
        <w:tc>
          <w:tcPr>
            <w:tcW w:w="4531" w:type="dxa"/>
          </w:tcPr>
          <w:p w14:paraId="61CF1A16" w14:textId="43240CAC" w:rsidR="00D3784E" w:rsidRPr="00F036AB" w:rsidRDefault="00EF1CDB" w:rsidP="006E5E5D">
            <w:pPr>
              <w:rPr>
                <w:lang w:val="nl-NL"/>
              </w:rPr>
            </w:pPr>
            <w:r w:rsidRPr="00F036AB">
              <w:rPr>
                <w:lang w:val="nl-NL"/>
              </w:rPr>
              <w:t xml:space="preserve">De </w:t>
            </w:r>
            <w:r w:rsidR="00EA4D6A" w:rsidRPr="00F036AB">
              <w:rPr>
                <w:lang w:val="nl-NL"/>
              </w:rPr>
              <w:t>digitale leermiddelen</w:t>
            </w:r>
            <w:r w:rsidRPr="00F036AB">
              <w:rPr>
                <w:lang w:val="nl-NL"/>
              </w:rPr>
              <w:t xml:space="preserve"> zijn gericht op gebruik door </w:t>
            </w:r>
            <w:r w:rsidR="00155F6D">
              <w:rPr>
                <w:lang w:val="nl-NL"/>
              </w:rPr>
              <w:t>onderwijsdeelnemers</w:t>
            </w:r>
            <w:r w:rsidR="006E5E5D" w:rsidRPr="00F036AB">
              <w:rPr>
                <w:lang w:val="nl-NL"/>
              </w:rPr>
              <w:t>, leraar, intern begeleiders</w:t>
            </w:r>
            <w:r w:rsidR="00EA4D6A" w:rsidRPr="00F036AB">
              <w:rPr>
                <w:lang w:val="nl-NL"/>
              </w:rPr>
              <w:t>.</w:t>
            </w:r>
          </w:p>
        </w:tc>
      </w:tr>
    </w:tbl>
    <w:p w14:paraId="726E9D56" w14:textId="48A79D97" w:rsidR="00D3784E" w:rsidRPr="00F036AB" w:rsidRDefault="00D3784E" w:rsidP="00D3784E">
      <w:pPr>
        <w:pStyle w:val="Heading2"/>
        <w:rPr>
          <w:lang w:val="nl-NL"/>
        </w:rPr>
      </w:pPr>
      <w:r w:rsidRPr="001C3B02">
        <w:rPr>
          <w:lang w:val="nl-NL"/>
        </w:rPr>
        <w:t>B.</w:t>
      </w:r>
      <w:r w:rsidRPr="00F036AB">
        <w:rPr>
          <w:lang w:val="nl-NL"/>
        </w:rPr>
        <w:t xml:space="preserve"> </w:t>
      </w:r>
      <w:r w:rsidR="00757600" w:rsidRPr="00386586">
        <w:rPr>
          <w:lang w:val="nl-NL"/>
        </w:rPr>
        <w:t xml:space="preserve">Doeleinden voor het verwerken van gegevens en </w:t>
      </w:r>
      <w:r w:rsidRPr="00386586">
        <w:rPr>
          <w:lang w:val="nl-NL"/>
        </w:rPr>
        <w:t>specifieke diensten</w:t>
      </w:r>
    </w:p>
    <w:p w14:paraId="1896CE7A" w14:textId="3F8A0AA1" w:rsidR="00D3784E" w:rsidRPr="00F036AB" w:rsidRDefault="00386586" w:rsidP="00D3784E">
      <w:pPr>
        <w:rPr>
          <w:lang w:val="nl-NL"/>
        </w:rPr>
      </w:pPr>
      <w:r>
        <w:rPr>
          <w:lang w:val="nl-NL"/>
        </w:rPr>
        <w:t>Boom uitgevers Amsterdam</w:t>
      </w:r>
      <w:r w:rsidR="00D3784E" w:rsidRPr="00F036AB">
        <w:rPr>
          <w:lang w:val="nl-NL"/>
        </w:rPr>
        <w:t xml:space="preserve"> maakt een onderscheid tussen verwerkingen die een onlosmakelijk onderdeel vormen van de aangeboden dienst, en optionele verwerkingen.</w:t>
      </w:r>
    </w:p>
    <w:p w14:paraId="6C7BD6E4" w14:textId="1DE9BEE9" w:rsidR="00D3784E" w:rsidRPr="00F036AB" w:rsidRDefault="00D3784E" w:rsidP="00D3784E">
      <w:pPr>
        <w:pStyle w:val="Heading3"/>
        <w:rPr>
          <w:lang w:val="nl-NL"/>
        </w:rPr>
      </w:pPr>
      <w:r w:rsidRPr="00F036AB">
        <w:rPr>
          <w:lang w:val="nl-NL"/>
        </w:rPr>
        <w:t xml:space="preserve">Verwerkingen die een </w:t>
      </w:r>
      <w:r w:rsidR="008D4DF6" w:rsidRPr="00F036AB">
        <w:rPr>
          <w:lang w:val="nl-NL"/>
        </w:rPr>
        <w:t xml:space="preserve">onlosmakelijk </w:t>
      </w:r>
      <w:r w:rsidRPr="00F036AB">
        <w:rPr>
          <w:lang w:val="nl-NL"/>
        </w:rPr>
        <w:t>onderdeel vor</w:t>
      </w:r>
      <w:r w:rsidR="00B97AB7" w:rsidRPr="00F036AB">
        <w:rPr>
          <w:lang w:val="nl-NL"/>
        </w:rPr>
        <w:t xml:space="preserve">men van </w:t>
      </w:r>
      <w:r w:rsidR="00E64689">
        <w:rPr>
          <w:lang w:val="nl-NL"/>
        </w:rPr>
        <w:t>Boom testcentrum</w:t>
      </w:r>
    </w:p>
    <w:p w14:paraId="65EFC7FC" w14:textId="08241AA8" w:rsidR="008D4DF6" w:rsidRPr="00F036AB" w:rsidRDefault="00D80E84" w:rsidP="00EF1CDB">
      <w:pPr>
        <w:rPr>
          <w:lang w:val="nl-NL"/>
        </w:rPr>
      </w:pPr>
      <w:r w:rsidRPr="00F036AB">
        <w:rPr>
          <w:lang w:val="nl-NL"/>
        </w:rPr>
        <w:t xml:space="preserve">De verwerkingen </w:t>
      </w:r>
      <w:r w:rsidR="00EF1CDB" w:rsidRPr="00F036AB">
        <w:rPr>
          <w:lang w:val="nl-NL"/>
        </w:rPr>
        <w:t xml:space="preserve">door </w:t>
      </w:r>
      <w:r w:rsidR="00386586">
        <w:rPr>
          <w:lang w:val="nl-NL"/>
        </w:rPr>
        <w:t>Boom uitgevers Amsterdam</w:t>
      </w:r>
      <w:r w:rsidR="00EF1CDB" w:rsidRPr="00F036AB">
        <w:rPr>
          <w:lang w:val="nl-NL"/>
        </w:rPr>
        <w:t xml:space="preserve"> </w:t>
      </w:r>
      <w:r w:rsidRPr="00F036AB">
        <w:rPr>
          <w:lang w:val="nl-NL"/>
        </w:rPr>
        <w:t xml:space="preserve">vinden primair plaats om </w:t>
      </w:r>
      <w:r w:rsidR="008D4DF6" w:rsidRPr="00F036AB">
        <w:rPr>
          <w:lang w:val="nl-NL"/>
        </w:rPr>
        <w:t>onderwijs</w:t>
      </w:r>
      <w:r w:rsidR="00A90FA2">
        <w:rPr>
          <w:lang w:val="nl-NL"/>
        </w:rPr>
        <w:t>ins</w:t>
      </w:r>
      <w:r w:rsidR="008D4DF6" w:rsidRPr="00F036AB">
        <w:rPr>
          <w:lang w:val="nl-NL"/>
        </w:rPr>
        <w:t xml:space="preserve">tellingen in staat te stellen om </w:t>
      </w:r>
      <w:r w:rsidRPr="00F036AB">
        <w:rPr>
          <w:lang w:val="nl-NL"/>
        </w:rPr>
        <w:t xml:space="preserve">met gebruikmaking van de </w:t>
      </w:r>
      <w:r w:rsidR="00EA4D6A" w:rsidRPr="00F036AB">
        <w:rPr>
          <w:lang w:val="nl-NL"/>
        </w:rPr>
        <w:t xml:space="preserve">digitale leermiddelen </w:t>
      </w:r>
      <w:r w:rsidR="00155F6D">
        <w:rPr>
          <w:lang w:val="nl-NL"/>
        </w:rPr>
        <w:t>onderwijsdeelnemers</w:t>
      </w:r>
      <w:r w:rsidRPr="00F036AB">
        <w:rPr>
          <w:lang w:val="nl-NL"/>
        </w:rPr>
        <w:t xml:space="preserve"> te kunnen volgen en begeleiden. </w:t>
      </w:r>
    </w:p>
    <w:p w14:paraId="3AD802C3" w14:textId="60FF187F" w:rsidR="00D80E84" w:rsidRPr="00F036AB" w:rsidRDefault="008D4DF6" w:rsidP="00EF1CDB">
      <w:pPr>
        <w:rPr>
          <w:lang w:val="nl-NL"/>
        </w:rPr>
      </w:pPr>
      <w:r w:rsidRPr="00F036AB">
        <w:rPr>
          <w:lang w:val="nl-NL"/>
        </w:rPr>
        <w:t xml:space="preserve">Bij het gebruik van </w:t>
      </w:r>
      <w:r w:rsidR="00E64689">
        <w:rPr>
          <w:lang w:val="nl-NL"/>
        </w:rPr>
        <w:t>Boom testcentrum</w:t>
      </w:r>
      <w:r w:rsidRPr="00F036AB">
        <w:rPr>
          <w:lang w:val="nl-NL"/>
        </w:rPr>
        <w:t xml:space="preserve"> vinden altijd de volgende verwerkingen plaats</w:t>
      </w:r>
      <w:r w:rsidR="000B0DF4" w:rsidRPr="00F036AB">
        <w:rPr>
          <w:lang w:val="nl-NL"/>
        </w:rPr>
        <w:t>, in lijn met artikel 5 van het Convenant Digitale Onderwijsmiddelen en Privacy - Leermiddelen en Toetsen</w:t>
      </w:r>
      <w:r w:rsidRPr="00F036AB">
        <w:rPr>
          <w:lang w:val="nl-NL"/>
        </w:rPr>
        <w:t xml:space="preserve">: </w:t>
      </w:r>
    </w:p>
    <w:p w14:paraId="6199B31E" w14:textId="77777777" w:rsidR="00EF1CDB" w:rsidRPr="00F036AB" w:rsidRDefault="00EF1CDB" w:rsidP="00EF1CDB">
      <w:pPr>
        <w:rPr>
          <w:lang w:val="nl-NL"/>
        </w:rPr>
      </w:pPr>
    </w:p>
    <w:tbl>
      <w:tblPr>
        <w:tblStyle w:val="TableGrid"/>
        <w:tblW w:w="0" w:type="auto"/>
        <w:tblInd w:w="360" w:type="dxa"/>
        <w:tblLook w:val="04A0" w:firstRow="1" w:lastRow="0" w:firstColumn="1" w:lastColumn="0" w:noHBand="0" w:noVBand="1"/>
      </w:tblPr>
      <w:tblGrid>
        <w:gridCol w:w="8702"/>
      </w:tblGrid>
      <w:tr w:rsidR="008D4DF6" w:rsidRPr="004814B0" w14:paraId="2C20FE69" w14:textId="77777777" w:rsidTr="0075157D">
        <w:tc>
          <w:tcPr>
            <w:tcW w:w="8702" w:type="dxa"/>
          </w:tcPr>
          <w:p w14:paraId="607964E8" w14:textId="0F1B1DC3" w:rsidR="008D4DF6" w:rsidRPr="00F036AB" w:rsidRDefault="00A90FA2" w:rsidP="00D733A2">
            <w:pPr>
              <w:pStyle w:val="ListParagraph"/>
              <w:numPr>
                <w:ilvl w:val="0"/>
                <w:numId w:val="12"/>
              </w:numPr>
              <w:rPr>
                <w:lang w:val="nl-NL"/>
              </w:rPr>
            </w:pPr>
            <w:r w:rsidRPr="00F036AB">
              <w:rPr>
                <w:lang w:val="nl-NL"/>
              </w:rPr>
              <w:t xml:space="preserve">het </w:t>
            </w:r>
            <w:r>
              <w:rPr>
                <w:lang w:val="nl-NL"/>
              </w:rPr>
              <w:t>online kunnen afnemen van vragenlijsten</w:t>
            </w:r>
            <w:r w:rsidRPr="00F036AB">
              <w:rPr>
                <w:lang w:val="nl-NL"/>
              </w:rPr>
              <w:t>;</w:t>
            </w:r>
          </w:p>
        </w:tc>
      </w:tr>
      <w:tr w:rsidR="00A90FA2" w:rsidRPr="004814B0" w14:paraId="2A203D60" w14:textId="77777777" w:rsidTr="0075157D">
        <w:tc>
          <w:tcPr>
            <w:tcW w:w="8702" w:type="dxa"/>
          </w:tcPr>
          <w:p w14:paraId="39A92C96" w14:textId="0611EC0F" w:rsidR="00A90FA2" w:rsidRPr="00F036AB" w:rsidRDefault="00A90FA2" w:rsidP="00D733A2">
            <w:pPr>
              <w:pStyle w:val="ListParagraph"/>
              <w:numPr>
                <w:ilvl w:val="0"/>
                <w:numId w:val="12"/>
              </w:numPr>
              <w:rPr>
                <w:lang w:val="nl-NL"/>
              </w:rPr>
            </w:pPr>
            <w:r>
              <w:rPr>
                <w:lang w:val="nl-NL"/>
              </w:rPr>
              <w:t>het online kunnen scoren en normeren van tests en vragenlijsten;</w:t>
            </w:r>
          </w:p>
        </w:tc>
      </w:tr>
      <w:tr w:rsidR="008D4DF6" w:rsidRPr="004814B0" w14:paraId="33B06049" w14:textId="77777777" w:rsidTr="0075157D">
        <w:tc>
          <w:tcPr>
            <w:tcW w:w="8702" w:type="dxa"/>
          </w:tcPr>
          <w:p w14:paraId="08CCCBBA" w14:textId="5F86536B" w:rsidR="008D4DF6" w:rsidRPr="00F036AB" w:rsidRDefault="00A90FA2" w:rsidP="00D733A2">
            <w:pPr>
              <w:pStyle w:val="ListParagraph"/>
              <w:numPr>
                <w:ilvl w:val="0"/>
                <w:numId w:val="12"/>
              </w:numPr>
              <w:rPr>
                <w:lang w:val="nl-NL"/>
              </w:rPr>
            </w:pPr>
            <w:r w:rsidRPr="00F036AB">
              <w:rPr>
                <w:lang w:val="nl-NL"/>
              </w:rPr>
              <w:t>de opslag van</w:t>
            </w:r>
            <w:r>
              <w:rPr>
                <w:lang w:val="nl-NL"/>
              </w:rPr>
              <w:t xml:space="preserve"> ingevulde vragenlijsten en</w:t>
            </w:r>
            <w:r w:rsidRPr="00F036AB">
              <w:rPr>
                <w:lang w:val="nl-NL"/>
              </w:rPr>
              <w:t xml:space="preserve"> </w:t>
            </w:r>
            <w:r w:rsidR="0075157D">
              <w:rPr>
                <w:lang w:val="nl-NL"/>
              </w:rPr>
              <w:t xml:space="preserve">gescoorde </w:t>
            </w:r>
            <w:r w:rsidRPr="00F036AB">
              <w:rPr>
                <w:lang w:val="nl-NL"/>
              </w:rPr>
              <w:t>test</w:t>
            </w:r>
            <w:r w:rsidR="0075157D">
              <w:rPr>
                <w:lang w:val="nl-NL"/>
              </w:rPr>
              <w:t>s</w:t>
            </w:r>
            <w:r w:rsidRPr="00F036AB">
              <w:rPr>
                <w:lang w:val="nl-NL"/>
              </w:rPr>
              <w:t>;</w:t>
            </w:r>
          </w:p>
        </w:tc>
      </w:tr>
      <w:tr w:rsidR="008D4DF6" w:rsidRPr="004814B0" w14:paraId="630E6B85" w14:textId="77777777" w:rsidTr="0075157D">
        <w:tc>
          <w:tcPr>
            <w:tcW w:w="8702" w:type="dxa"/>
          </w:tcPr>
          <w:p w14:paraId="106A8F76" w14:textId="28753DB8" w:rsidR="008D4DF6" w:rsidRPr="00F036AB" w:rsidRDefault="00A90FA2" w:rsidP="002674FF">
            <w:pPr>
              <w:pStyle w:val="ListParagraph"/>
              <w:numPr>
                <w:ilvl w:val="0"/>
                <w:numId w:val="12"/>
              </w:numPr>
              <w:rPr>
                <w:lang w:val="nl-NL"/>
              </w:rPr>
            </w:pPr>
            <w:r w:rsidRPr="00F036AB">
              <w:rPr>
                <w:lang w:val="nl-NL"/>
              </w:rPr>
              <w:t>het terugontvangen door de onderwijsinstelling van testresultaten;</w:t>
            </w:r>
          </w:p>
        </w:tc>
      </w:tr>
      <w:tr w:rsidR="008D4DF6" w:rsidRPr="004814B0" w14:paraId="1729F69B" w14:textId="77777777" w:rsidTr="0075157D">
        <w:tc>
          <w:tcPr>
            <w:tcW w:w="8702" w:type="dxa"/>
          </w:tcPr>
          <w:p w14:paraId="3B3FBC5C" w14:textId="0CA53CAD" w:rsidR="008D4DF6" w:rsidRPr="00F036AB" w:rsidRDefault="008D4DF6" w:rsidP="002674FF">
            <w:pPr>
              <w:pStyle w:val="ListParagraph"/>
              <w:numPr>
                <w:ilvl w:val="0"/>
                <w:numId w:val="16"/>
              </w:numPr>
              <w:rPr>
                <w:lang w:val="nl-NL"/>
              </w:rPr>
            </w:pPr>
            <w:r w:rsidRPr="00F036AB">
              <w:rPr>
                <w:lang w:val="nl-NL"/>
              </w:rPr>
              <w:t xml:space="preserve">de beoordeling van de testresultaten van één </w:t>
            </w:r>
            <w:r w:rsidR="00155F6D">
              <w:rPr>
                <w:lang w:val="nl-NL"/>
              </w:rPr>
              <w:t>onderwijsdeelnemer</w:t>
            </w:r>
            <w:r w:rsidRPr="00F036AB">
              <w:rPr>
                <w:lang w:val="nl-NL"/>
              </w:rPr>
              <w:t xml:space="preserve"> ten opzichte van de resultaten van een normgroep, om inzicht te krijgen hoe een </w:t>
            </w:r>
            <w:r w:rsidR="00155F6D">
              <w:rPr>
                <w:lang w:val="nl-NL"/>
              </w:rPr>
              <w:t>onderwijsdeelnemer</w:t>
            </w:r>
            <w:r w:rsidRPr="00F036AB">
              <w:rPr>
                <w:lang w:val="nl-NL"/>
              </w:rPr>
              <w:t xml:space="preserve"> presteert ten opzichte van deze groep;</w:t>
            </w:r>
          </w:p>
        </w:tc>
      </w:tr>
      <w:tr w:rsidR="008D4DF6" w:rsidRPr="004814B0" w14:paraId="44470B8F" w14:textId="77777777" w:rsidTr="0075157D">
        <w:tc>
          <w:tcPr>
            <w:tcW w:w="8702" w:type="dxa"/>
          </w:tcPr>
          <w:p w14:paraId="285AF3C8" w14:textId="77777777" w:rsidR="008D4DF6" w:rsidRPr="00F036AB" w:rsidRDefault="008D4DF6" w:rsidP="00D733A2">
            <w:pPr>
              <w:pStyle w:val="ListParagraph"/>
              <w:numPr>
                <w:ilvl w:val="0"/>
                <w:numId w:val="12"/>
              </w:numPr>
              <w:rPr>
                <w:lang w:val="nl-NL"/>
              </w:rPr>
            </w:pPr>
            <w:r w:rsidRPr="00F036AB">
              <w:rPr>
                <w:lang w:val="nl-NL"/>
              </w:rPr>
              <w:t>het verkrijgen van toegang tot de aangeboden digitale leermiddelen, waaronder de identificatie, authenticatie en autorisatie;</w:t>
            </w:r>
          </w:p>
        </w:tc>
      </w:tr>
      <w:tr w:rsidR="008D4DF6" w:rsidRPr="004814B0" w14:paraId="511264ED" w14:textId="77777777" w:rsidTr="0075157D">
        <w:tc>
          <w:tcPr>
            <w:tcW w:w="8702" w:type="dxa"/>
          </w:tcPr>
          <w:p w14:paraId="749346DC" w14:textId="77777777" w:rsidR="008D4DF6" w:rsidRPr="00F036AB" w:rsidRDefault="008D4DF6" w:rsidP="00D733A2">
            <w:pPr>
              <w:pStyle w:val="ListParagraph"/>
              <w:numPr>
                <w:ilvl w:val="0"/>
                <w:numId w:val="12"/>
              </w:numPr>
              <w:rPr>
                <w:lang w:val="nl-NL"/>
              </w:rPr>
            </w:pPr>
            <w:r w:rsidRPr="00F036AB">
              <w:rPr>
                <w:lang w:val="nl-NL"/>
              </w:rPr>
              <w:t>de beveiliging, controle en preventie van misbruik en oneigenlijk gebruik, en het voorkomen van inconsistentie en onbetrouwbaarheid in de verwerkte persoonsgegevens;</w:t>
            </w:r>
          </w:p>
        </w:tc>
      </w:tr>
      <w:tr w:rsidR="008D4DF6" w:rsidRPr="004814B0" w14:paraId="00289DA0" w14:textId="77777777" w:rsidTr="0075157D">
        <w:tc>
          <w:tcPr>
            <w:tcW w:w="8702" w:type="dxa"/>
          </w:tcPr>
          <w:p w14:paraId="49B6AD71" w14:textId="77777777" w:rsidR="008D4DF6" w:rsidRPr="00F036AB" w:rsidRDefault="008D4DF6" w:rsidP="00D733A2">
            <w:pPr>
              <w:pStyle w:val="ListParagraph"/>
              <w:numPr>
                <w:ilvl w:val="0"/>
                <w:numId w:val="12"/>
              </w:numPr>
              <w:rPr>
                <w:lang w:val="nl-NL"/>
              </w:rPr>
            </w:pPr>
            <w:r w:rsidRPr="00F036AB">
              <w:rPr>
                <w:lang w:val="nl-NL"/>
              </w:rPr>
              <w:t>de continuïteit en goede werking van het digitale leermiddel, waaronder het laten uitvoeren van onderhoud, het maken van een back-up, het aanbrengen van verbeteringen na geconstateerde fouten of onjuistheden en het krijgen van ondersteuning;</w:t>
            </w:r>
          </w:p>
        </w:tc>
      </w:tr>
      <w:tr w:rsidR="008D4DF6" w:rsidRPr="004814B0" w14:paraId="24AF6920" w14:textId="77777777" w:rsidTr="0075157D">
        <w:tc>
          <w:tcPr>
            <w:tcW w:w="8702" w:type="dxa"/>
          </w:tcPr>
          <w:p w14:paraId="3133A0DF" w14:textId="77777777" w:rsidR="008D4DF6" w:rsidRPr="00F036AB" w:rsidRDefault="008D4DF6" w:rsidP="007C1CAD">
            <w:pPr>
              <w:pStyle w:val="ListParagraph"/>
              <w:numPr>
                <w:ilvl w:val="0"/>
                <w:numId w:val="12"/>
              </w:numPr>
              <w:rPr>
                <w:lang w:val="nl-NL"/>
              </w:rPr>
            </w:pPr>
            <w:r w:rsidRPr="00F036AB">
              <w:rPr>
                <w:lang w:val="nl-NL"/>
              </w:rPr>
              <w:t xml:space="preserve">het verwerken van gegevens tot volledig geanonimiseerde </w:t>
            </w:r>
            <w:r w:rsidR="007C1CAD" w:rsidRPr="00F036AB">
              <w:rPr>
                <w:lang w:val="nl-NL"/>
              </w:rPr>
              <w:t>onderzoeks- of analyse</w:t>
            </w:r>
            <w:r w:rsidRPr="00F036AB">
              <w:rPr>
                <w:lang w:val="nl-NL"/>
              </w:rPr>
              <w:t xml:space="preserve">data </w:t>
            </w:r>
            <w:r w:rsidR="007C1CAD" w:rsidRPr="00F036AB">
              <w:rPr>
                <w:lang w:val="nl-NL"/>
              </w:rPr>
              <w:t xml:space="preserve">ten behoeve van de verbetering van de </w:t>
            </w:r>
            <w:r w:rsidRPr="00F036AB">
              <w:rPr>
                <w:lang w:val="nl-NL"/>
              </w:rPr>
              <w:t>kwaliteit van het onderwijs</w:t>
            </w:r>
            <w:r w:rsidR="007C1CAD" w:rsidRPr="00F036AB">
              <w:rPr>
                <w:lang w:val="nl-NL"/>
              </w:rPr>
              <w:t>.</w:t>
            </w:r>
          </w:p>
        </w:tc>
      </w:tr>
    </w:tbl>
    <w:p w14:paraId="7860B7E1" w14:textId="77777777" w:rsidR="00D3784E" w:rsidRPr="00F036AB" w:rsidRDefault="00D3784E" w:rsidP="00D80E84">
      <w:pPr>
        <w:pStyle w:val="Heading3"/>
        <w:rPr>
          <w:lang w:val="nl-NL"/>
        </w:rPr>
      </w:pPr>
      <w:r w:rsidRPr="00F036AB">
        <w:rPr>
          <w:lang w:val="nl-NL"/>
        </w:rPr>
        <w:t>Optionele verwerkingen</w:t>
      </w:r>
    </w:p>
    <w:p w14:paraId="5CDFCA92" w14:textId="1EEDD979" w:rsidR="00D3784E" w:rsidRPr="00F036AB" w:rsidRDefault="008D4DF6" w:rsidP="00D3784E">
      <w:pPr>
        <w:rPr>
          <w:lang w:val="nl-NL"/>
        </w:rPr>
      </w:pPr>
      <w:r w:rsidRPr="00F036AB">
        <w:rPr>
          <w:lang w:val="nl-NL"/>
        </w:rPr>
        <w:t xml:space="preserve">Bij het gebruik van </w:t>
      </w:r>
      <w:r w:rsidR="00E64689">
        <w:rPr>
          <w:lang w:val="nl-NL"/>
        </w:rPr>
        <w:t>Boom testcentrum</w:t>
      </w:r>
      <w:r w:rsidRPr="00F036AB">
        <w:rPr>
          <w:lang w:val="nl-NL"/>
        </w:rPr>
        <w:t xml:space="preserve"> kunnen met specifieke toestemming van de onderwijstelling ook andere verwerkingen </w:t>
      </w:r>
      <w:r w:rsidR="005F68C0" w:rsidRPr="00F036AB">
        <w:rPr>
          <w:lang w:val="nl-NL"/>
        </w:rPr>
        <w:t>plaatsvinden</w:t>
      </w:r>
      <w:r w:rsidR="007C1CAD" w:rsidRPr="00F036AB">
        <w:rPr>
          <w:lang w:val="nl-NL"/>
        </w:rPr>
        <w:t xml:space="preserve">. Onderwijsinstellingen hebben voor deze verwerkingen een actieve keuzeoptie. </w:t>
      </w:r>
      <w:r w:rsidRPr="00F036AB">
        <w:rPr>
          <w:lang w:val="nl-NL"/>
        </w:rPr>
        <w:t xml:space="preserve">Het betreft verwerkingen in het kader van: </w:t>
      </w:r>
    </w:p>
    <w:p w14:paraId="106B3562" w14:textId="77777777" w:rsidR="00EA4D6A" w:rsidRPr="00F036AB" w:rsidRDefault="00EA4D6A" w:rsidP="00D3784E">
      <w:pPr>
        <w:rPr>
          <w:lang w:val="nl-NL"/>
        </w:rPr>
      </w:pPr>
    </w:p>
    <w:tbl>
      <w:tblPr>
        <w:tblStyle w:val="TableGrid"/>
        <w:tblW w:w="0" w:type="auto"/>
        <w:tblInd w:w="360" w:type="dxa"/>
        <w:tblLook w:val="04A0" w:firstRow="1" w:lastRow="0" w:firstColumn="1" w:lastColumn="0" w:noHBand="0" w:noVBand="1"/>
      </w:tblPr>
      <w:tblGrid>
        <w:gridCol w:w="8702"/>
      </w:tblGrid>
      <w:tr w:rsidR="008D4DF6" w:rsidRPr="004814B0" w14:paraId="1B1098C9" w14:textId="77777777" w:rsidTr="00C52542">
        <w:tc>
          <w:tcPr>
            <w:tcW w:w="8702" w:type="dxa"/>
          </w:tcPr>
          <w:p w14:paraId="7BEBAB1E" w14:textId="1896A9B7" w:rsidR="008D4DF6" w:rsidRPr="00F036AB" w:rsidRDefault="008D4DF6" w:rsidP="008D4DF6">
            <w:pPr>
              <w:pStyle w:val="ListParagraph"/>
              <w:numPr>
                <w:ilvl w:val="0"/>
                <w:numId w:val="12"/>
              </w:numPr>
              <w:rPr>
                <w:lang w:val="nl-NL"/>
              </w:rPr>
            </w:pPr>
            <w:r w:rsidRPr="00F036AB">
              <w:rPr>
                <w:lang w:val="nl-NL"/>
              </w:rPr>
              <w:t>het kunnen uitwisselen van leer- en testresultaten met administratiesystemen van de onderwijsinstelling;</w:t>
            </w:r>
          </w:p>
        </w:tc>
      </w:tr>
    </w:tbl>
    <w:p w14:paraId="18BE3600" w14:textId="09B4E79C" w:rsidR="00D3784E" w:rsidRPr="00C52542" w:rsidRDefault="00846DB2" w:rsidP="00595036">
      <w:pPr>
        <w:pStyle w:val="Heading2"/>
        <w:rPr>
          <w:lang w:val="nl-NL"/>
        </w:rPr>
      </w:pPr>
      <w:r w:rsidRPr="00C52542">
        <w:rPr>
          <w:lang w:val="nl-NL"/>
        </w:rPr>
        <w:t>C</w:t>
      </w:r>
      <w:r w:rsidR="00D3784E" w:rsidRPr="00C52542">
        <w:rPr>
          <w:lang w:val="nl-NL"/>
        </w:rPr>
        <w:t xml:space="preserve">. Categorieën en soorten persoonsgegevens </w:t>
      </w:r>
    </w:p>
    <w:p w14:paraId="6F356E36" w14:textId="309F9738" w:rsidR="00846DB2" w:rsidRDefault="00846DB2" w:rsidP="00846DB2">
      <w:pPr>
        <w:rPr>
          <w:lang w:val="nl-NL"/>
        </w:rPr>
      </w:pPr>
      <w:r w:rsidRPr="00C52542">
        <w:rPr>
          <w:lang w:val="nl-NL"/>
        </w:rPr>
        <w:t xml:space="preserve">Bij het gebruik van </w:t>
      </w:r>
      <w:r w:rsidR="00E64689" w:rsidRPr="00C52542">
        <w:rPr>
          <w:lang w:val="nl-NL"/>
        </w:rPr>
        <w:t>Boom testcentrum</w:t>
      </w:r>
      <w:r w:rsidRPr="00C52542">
        <w:rPr>
          <w:lang w:val="nl-NL"/>
        </w:rPr>
        <w:t xml:space="preserve"> worden alleen identificerende persoonsgegevens verwerkt.</w:t>
      </w:r>
    </w:p>
    <w:p w14:paraId="31B680D4" w14:textId="597EC416" w:rsidR="00846DB2" w:rsidRPr="00846DB2" w:rsidRDefault="00846DB2" w:rsidP="00846DB2">
      <w:pPr>
        <w:rPr>
          <w:lang w:val="nl-NL"/>
        </w:rPr>
      </w:pPr>
      <w:r>
        <w:rPr>
          <w:lang w:val="nl-NL"/>
        </w:rPr>
        <w:t xml:space="preserve"> </w:t>
      </w:r>
    </w:p>
    <w:tbl>
      <w:tblPr>
        <w:tblStyle w:val="TableGrid"/>
        <w:tblW w:w="0" w:type="auto"/>
        <w:tblLook w:val="04A0" w:firstRow="1" w:lastRow="0" w:firstColumn="1" w:lastColumn="0" w:noHBand="0" w:noVBand="1"/>
      </w:tblPr>
      <w:tblGrid>
        <w:gridCol w:w="4531"/>
        <w:gridCol w:w="4531"/>
      </w:tblGrid>
      <w:tr w:rsidR="00AA7110" w:rsidRPr="004814B0" w14:paraId="3805685A" w14:textId="77777777" w:rsidTr="00AA7110">
        <w:tc>
          <w:tcPr>
            <w:tcW w:w="4531" w:type="dxa"/>
          </w:tcPr>
          <w:p w14:paraId="542A6721" w14:textId="77777777" w:rsidR="00AA7110" w:rsidRPr="00F036AB" w:rsidRDefault="00AA7110" w:rsidP="00AA7110">
            <w:pPr>
              <w:rPr>
                <w:lang w:val="nl-NL"/>
              </w:rPr>
            </w:pPr>
            <w:r w:rsidRPr="00F036AB">
              <w:rPr>
                <w:lang w:val="nl-NL"/>
              </w:rPr>
              <w:t>Omschrijving van de verwerkte persoonsgegevens:</w:t>
            </w:r>
          </w:p>
        </w:tc>
        <w:tc>
          <w:tcPr>
            <w:tcW w:w="4531" w:type="dxa"/>
          </w:tcPr>
          <w:p w14:paraId="52B92210" w14:textId="77777777" w:rsidR="003E0A14" w:rsidRPr="00F036AB" w:rsidRDefault="003E0A14" w:rsidP="000E61ED">
            <w:pPr>
              <w:rPr>
                <w:b/>
                <w:lang w:val="nl-NL"/>
              </w:rPr>
            </w:pPr>
            <w:r w:rsidRPr="00F036AB">
              <w:rPr>
                <w:b/>
                <w:lang w:val="nl-NL"/>
              </w:rPr>
              <w:t>Verwerkte persoonsgegevens voor autorisatie en authenticatie</w:t>
            </w:r>
          </w:p>
          <w:p w14:paraId="3FE9937E" w14:textId="77777777" w:rsidR="00C52542" w:rsidRDefault="000E61ED" w:rsidP="00C52542">
            <w:pPr>
              <w:rPr>
                <w:lang w:val="nl-NL"/>
              </w:rPr>
            </w:pPr>
            <w:r w:rsidRPr="00F036AB">
              <w:rPr>
                <w:lang w:val="nl-NL"/>
              </w:rPr>
              <w:t xml:space="preserve">Het verkrijgen van toegang tot digitale leermiddelen verloopt </w:t>
            </w:r>
            <w:r w:rsidR="00C52542">
              <w:rPr>
                <w:lang w:val="nl-NL"/>
              </w:rPr>
              <w:t xml:space="preserve">d.m.v. het door de Verantwoordelijke aangemaakte account op basis van: </w:t>
            </w:r>
          </w:p>
          <w:p w14:paraId="15D676FB" w14:textId="7C15354D" w:rsidR="00C52542" w:rsidRPr="00C52542" w:rsidRDefault="00C52542" w:rsidP="00C52542">
            <w:pPr>
              <w:pStyle w:val="ListParagraph"/>
              <w:numPr>
                <w:ilvl w:val="0"/>
                <w:numId w:val="18"/>
              </w:numPr>
              <w:spacing w:after="0"/>
              <w:ind w:left="714" w:hanging="357"/>
              <w:rPr>
                <w:lang w:val="nl-NL"/>
              </w:rPr>
            </w:pPr>
            <w:r w:rsidRPr="00C52542">
              <w:rPr>
                <w:lang w:val="nl-NL"/>
              </w:rPr>
              <w:t>e-mailadres;</w:t>
            </w:r>
          </w:p>
          <w:p w14:paraId="3C7CE389" w14:textId="75E60EE6" w:rsidR="000E61ED" w:rsidRPr="00C52542" w:rsidRDefault="00C52542" w:rsidP="00C52542">
            <w:pPr>
              <w:pStyle w:val="ListParagraph"/>
              <w:numPr>
                <w:ilvl w:val="0"/>
                <w:numId w:val="18"/>
              </w:numPr>
              <w:spacing w:after="0"/>
              <w:ind w:left="714" w:hanging="357"/>
              <w:rPr>
                <w:lang w:val="nl-NL"/>
              </w:rPr>
            </w:pPr>
            <w:r w:rsidRPr="00C52542">
              <w:rPr>
                <w:lang w:val="nl-NL"/>
              </w:rPr>
              <w:t>wachtwoord.</w:t>
            </w:r>
          </w:p>
          <w:p w14:paraId="1E31E2F3" w14:textId="77777777" w:rsidR="003E0A14" w:rsidRPr="00F036AB" w:rsidRDefault="003E0A14" w:rsidP="003E0A14">
            <w:pPr>
              <w:rPr>
                <w:b/>
                <w:lang w:val="nl-NL"/>
              </w:rPr>
            </w:pPr>
            <w:r w:rsidRPr="00F036AB">
              <w:rPr>
                <w:b/>
                <w:lang w:val="nl-NL"/>
              </w:rPr>
              <w:t>Verwerkte persoonsgegevens bij gebruik van het leermiddel</w:t>
            </w:r>
          </w:p>
          <w:p w14:paraId="7ADC587E" w14:textId="1B3B9596" w:rsidR="00991014" w:rsidRPr="00F036AB" w:rsidRDefault="000E61ED" w:rsidP="000E61ED">
            <w:pPr>
              <w:rPr>
                <w:lang w:val="nl-NL"/>
              </w:rPr>
            </w:pPr>
            <w:r w:rsidRPr="00F036AB">
              <w:rPr>
                <w:lang w:val="nl-NL"/>
              </w:rPr>
              <w:t xml:space="preserve">Na het inloggen worden door </w:t>
            </w:r>
            <w:r w:rsidR="00386586">
              <w:rPr>
                <w:lang w:val="nl-NL"/>
              </w:rPr>
              <w:t>Boom uitgevers Amsterdam</w:t>
            </w:r>
            <w:r w:rsidRPr="00F036AB">
              <w:rPr>
                <w:lang w:val="nl-NL"/>
              </w:rPr>
              <w:t xml:space="preserve"> vervolgens de gegevens verwerkt die gebruikers invullen</w:t>
            </w:r>
            <w:r w:rsidR="00991014" w:rsidRPr="00F036AB">
              <w:rPr>
                <w:lang w:val="nl-NL"/>
              </w:rPr>
              <w:t>:</w:t>
            </w:r>
          </w:p>
          <w:p w14:paraId="723BE044" w14:textId="36FF744A" w:rsidR="00991014" w:rsidRPr="00F036AB" w:rsidRDefault="00C52542" w:rsidP="00991014">
            <w:pPr>
              <w:pStyle w:val="ListParagraph"/>
              <w:numPr>
                <w:ilvl w:val="0"/>
                <w:numId w:val="18"/>
              </w:numPr>
              <w:spacing w:after="0"/>
              <w:ind w:left="714" w:hanging="357"/>
              <w:rPr>
                <w:lang w:val="nl-NL"/>
              </w:rPr>
            </w:pPr>
            <w:r>
              <w:rPr>
                <w:lang w:val="nl-NL"/>
              </w:rPr>
              <w:t>naam van de onderwijsdeelnemer</w:t>
            </w:r>
            <w:r w:rsidR="00991014" w:rsidRPr="00F036AB">
              <w:rPr>
                <w:lang w:val="nl-NL"/>
              </w:rPr>
              <w:t>;</w:t>
            </w:r>
          </w:p>
          <w:p w14:paraId="0210B2E0" w14:textId="77777777" w:rsidR="00C52542" w:rsidRDefault="00C52542" w:rsidP="00991014">
            <w:pPr>
              <w:pStyle w:val="ListParagraph"/>
              <w:numPr>
                <w:ilvl w:val="0"/>
                <w:numId w:val="18"/>
              </w:numPr>
              <w:spacing w:after="0"/>
              <w:ind w:left="714" w:hanging="357"/>
              <w:rPr>
                <w:lang w:val="nl-NL"/>
              </w:rPr>
            </w:pPr>
            <w:r>
              <w:rPr>
                <w:lang w:val="nl-NL"/>
              </w:rPr>
              <w:t>geboortedatum van de onderwijsdeelnemer;</w:t>
            </w:r>
          </w:p>
          <w:p w14:paraId="43EE713E" w14:textId="77777777" w:rsidR="00C52542" w:rsidRDefault="00C52542" w:rsidP="00991014">
            <w:pPr>
              <w:pStyle w:val="ListParagraph"/>
              <w:numPr>
                <w:ilvl w:val="0"/>
                <w:numId w:val="18"/>
              </w:numPr>
              <w:spacing w:after="0"/>
              <w:ind w:left="714" w:hanging="357"/>
              <w:rPr>
                <w:lang w:val="nl-NL"/>
              </w:rPr>
            </w:pPr>
            <w:r>
              <w:rPr>
                <w:lang w:val="nl-NL"/>
              </w:rPr>
              <w:t>groep/klas van de onderwijsdeelnemer;</w:t>
            </w:r>
          </w:p>
          <w:p w14:paraId="5FDCB676" w14:textId="509E161C" w:rsidR="00C52542" w:rsidRDefault="00C52542" w:rsidP="00991014">
            <w:pPr>
              <w:pStyle w:val="ListParagraph"/>
              <w:numPr>
                <w:ilvl w:val="0"/>
                <w:numId w:val="18"/>
              </w:numPr>
              <w:spacing w:after="0"/>
              <w:ind w:left="714" w:hanging="357"/>
              <w:rPr>
                <w:lang w:val="nl-NL"/>
              </w:rPr>
            </w:pPr>
            <w:r>
              <w:rPr>
                <w:lang w:val="nl-NL"/>
              </w:rPr>
              <w:t>score van een test gemaakt door de onderwijsdeelnemer;</w:t>
            </w:r>
          </w:p>
          <w:p w14:paraId="5BC308E3" w14:textId="547F68F2" w:rsidR="00C52542" w:rsidRDefault="00C52542" w:rsidP="00991014">
            <w:pPr>
              <w:pStyle w:val="ListParagraph"/>
              <w:numPr>
                <w:ilvl w:val="0"/>
                <w:numId w:val="18"/>
              </w:numPr>
              <w:spacing w:after="0"/>
              <w:ind w:left="714" w:hanging="357"/>
              <w:rPr>
                <w:lang w:val="nl-NL"/>
              </w:rPr>
            </w:pPr>
            <w:r>
              <w:rPr>
                <w:lang w:val="nl-NL"/>
              </w:rPr>
              <w:t>genormeerde score van test gemaakt door de onderwijsdeelnemer;</w:t>
            </w:r>
          </w:p>
          <w:p w14:paraId="4284BE4A" w14:textId="77777777" w:rsidR="00C52542" w:rsidRDefault="00C52542" w:rsidP="00991014">
            <w:pPr>
              <w:pStyle w:val="ListParagraph"/>
              <w:numPr>
                <w:ilvl w:val="0"/>
                <w:numId w:val="18"/>
              </w:numPr>
              <w:spacing w:after="0"/>
              <w:ind w:left="714" w:hanging="357"/>
              <w:rPr>
                <w:lang w:val="nl-NL"/>
              </w:rPr>
            </w:pPr>
            <w:r>
              <w:rPr>
                <w:lang w:val="nl-NL"/>
              </w:rPr>
              <w:t>naam van de testafnemer/leerkracht;</w:t>
            </w:r>
          </w:p>
          <w:p w14:paraId="6963E2EC" w14:textId="2978DCCB" w:rsidR="00AA7110" w:rsidRPr="00C52542" w:rsidRDefault="00C52542" w:rsidP="00991014">
            <w:pPr>
              <w:pStyle w:val="ListParagraph"/>
              <w:numPr>
                <w:ilvl w:val="0"/>
                <w:numId w:val="18"/>
              </w:numPr>
              <w:spacing w:after="0"/>
              <w:ind w:left="714" w:hanging="357"/>
              <w:rPr>
                <w:lang w:val="nl-NL"/>
              </w:rPr>
            </w:pPr>
            <w:r>
              <w:rPr>
                <w:lang w:val="nl-NL"/>
              </w:rPr>
              <w:t>e-mailadres van de testafnemer/leerkracht</w:t>
            </w:r>
            <w:r w:rsidR="00991014" w:rsidRPr="00F036AB">
              <w:rPr>
                <w:lang w:val="nl-NL"/>
              </w:rPr>
              <w:t>.</w:t>
            </w:r>
          </w:p>
        </w:tc>
      </w:tr>
      <w:tr w:rsidR="00AA7110" w:rsidRPr="004814B0" w14:paraId="20CAE91D" w14:textId="77777777" w:rsidTr="00AA7110">
        <w:tc>
          <w:tcPr>
            <w:tcW w:w="4531" w:type="dxa"/>
          </w:tcPr>
          <w:p w14:paraId="42811EC2" w14:textId="77777777" w:rsidR="00AA7110" w:rsidRPr="00F036AB" w:rsidRDefault="00AA7110" w:rsidP="00AA7110">
            <w:pPr>
              <w:rPr>
                <w:lang w:val="nl-NL"/>
              </w:rPr>
            </w:pPr>
            <w:r w:rsidRPr="00F036AB">
              <w:rPr>
                <w:lang w:val="nl-NL"/>
              </w:rPr>
              <w:t>Optionele persoonsgegevens:</w:t>
            </w:r>
          </w:p>
        </w:tc>
        <w:tc>
          <w:tcPr>
            <w:tcW w:w="4531" w:type="dxa"/>
          </w:tcPr>
          <w:p w14:paraId="2D9B08A7" w14:textId="53E9A5C1" w:rsidR="00C52542" w:rsidRDefault="00C52542" w:rsidP="00C52542">
            <w:pPr>
              <w:pStyle w:val="ListParagraph"/>
              <w:numPr>
                <w:ilvl w:val="0"/>
                <w:numId w:val="18"/>
              </w:numPr>
              <w:spacing w:after="0"/>
              <w:ind w:left="714" w:hanging="357"/>
              <w:rPr>
                <w:lang w:val="nl-NL"/>
              </w:rPr>
            </w:pPr>
            <w:r>
              <w:rPr>
                <w:lang w:val="nl-NL"/>
              </w:rPr>
              <w:t>het e-mailadres van de onderwijsdeelnemer;</w:t>
            </w:r>
          </w:p>
          <w:p w14:paraId="6E85DF0D" w14:textId="4C5ECA01" w:rsidR="001F3CFB" w:rsidRPr="00C52542" w:rsidRDefault="00C52542" w:rsidP="00655C0D">
            <w:pPr>
              <w:pStyle w:val="ListParagraph"/>
              <w:numPr>
                <w:ilvl w:val="0"/>
                <w:numId w:val="18"/>
              </w:numPr>
              <w:spacing w:after="0"/>
              <w:ind w:left="714" w:hanging="357"/>
              <w:rPr>
                <w:lang w:val="nl-NL"/>
              </w:rPr>
            </w:pPr>
            <w:r>
              <w:rPr>
                <w:lang w:val="nl-NL"/>
              </w:rPr>
              <w:t>nationaliteit van de onderwijsdeelnemer</w:t>
            </w:r>
            <w:r w:rsidR="00C32C6B">
              <w:rPr>
                <w:lang w:val="nl-NL"/>
              </w:rPr>
              <w:t xml:space="preserve"> (uitsluitend bij NIO 2004)</w:t>
            </w:r>
            <w:r>
              <w:rPr>
                <w:lang w:val="nl-NL"/>
              </w:rPr>
              <w:t>.</w:t>
            </w:r>
          </w:p>
        </w:tc>
      </w:tr>
      <w:tr w:rsidR="00AA7110" w:rsidRPr="004814B0" w14:paraId="3DA2FC6A" w14:textId="77777777" w:rsidTr="00AA7110">
        <w:tc>
          <w:tcPr>
            <w:tcW w:w="4531" w:type="dxa"/>
          </w:tcPr>
          <w:p w14:paraId="235DCCE3" w14:textId="77777777" w:rsidR="00AA7110" w:rsidRPr="00F036AB" w:rsidRDefault="00AA7110" w:rsidP="00AA7110">
            <w:pPr>
              <w:rPr>
                <w:lang w:val="nl-NL"/>
              </w:rPr>
            </w:pPr>
            <w:r w:rsidRPr="00F036AB">
              <w:rPr>
                <w:lang w:val="nl-NL"/>
              </w:rPr>
              <w:t>Soorten van gegevens:</w:t>
            </w:r>
          </w:p>
        </w:tc>
        <w:tc>
          <w:tcPr>
            <w:tcW w:w="4531" w:type="dxa"/>
          </w:tcPr>
          <w:p w14:paraId="61610278" w14:textId="77777777" w:rsidR="00B36E2F" w:rsidRDefault="00AA7110" w:rsidP="001F3CFB">
            <w:pPr>
              <w:pStyle w:val="CommentText"/>
              <w:rPr>
                <w:lang w:val="nl-NL"/>
              </w:rPr>
            </w:pPr>
            <w:r w:rsidRPr="00F036AB">
              <w:rPr>
                <w:lang w:val="nl-NL"/>
              </w:rPr>
              <w:t xml:space="preserve">In </w:t>
            </w:r>
            <w:r w:rsidR="00E64689">
              <w:rPr>
                <w:lang w:val="nl-NL"/>
              </w:rPr>
              <w:t>Boom testcentrum</w:t>
            </w:r>
            <w:r w:rsidR="00020BF5" w:rsidRPr="00F036AB">
              <w:rPr>
                <w:lang w:val="nl-NL"/>
              </w:rPr>
              <w:t xml:space="preserve"> </w:t>
            </w:r>
            <w:r w:rsidRPr="00F036AB">
              <w:rPr>
                <w:lang w:val="nl-NL"/>
              </w:rPr>
              <w:t xml:space="preserve">worden </w:t>
            </w:r>
            <w:r w:rsidR="00F814DC" w:rsidRPr="00B36E2F">
              <w:rPr>
                <w:lang w:val="nl-NL"/>
              </w:rPr>
              <w:t>bijzondere categorieën van persoonsgegevens</w:t>
            </w:r>
            <w:r w:rsidR="00F814DC" w:rsidRPr="00B36E2F" w:rsidDel="00F814DC">
              <w:rPr>
                <w:lang w:val="nl-NL"/>
              </w:rPr>
              <w:t xml:space="preserve"> </w:t>
            </w:r>
            <w:r w:rsidRPr="00B36E2F">
              <w:rPr>
                <w:lang w:val="nl-NL"/>
              </w:rPr>
              <w:t xml:space="preserve">verwerkt in de zin van artikel </w:t>
            </w:r>
            <w:r w:rsidR="004C2278" w:rsidRPr="00B36E2F">
              <w:rPr>
                <w:lang w:val="nl-NL"/>
              </w:rPr>
              <w:t>9</w:t>
            </w:r>
            <w:r w:rsidRPr="00B36E2F">
              <w:rPr>
                <w:lang w:val="nl-NL"/>
              </w:rPr>
              <w:t xml:space="preserve"> van de </w:t>
            </w:r>
            <w:r w:rsidR="004C2278" w:rsidRPr="00B36E2F">
              <w:rPr>
                <w:lang w:val="nl-NL"/>
              </w:rPr>
              <w:t>AVG</w:t>
            </w:r>
            <w:r w:rsidR="00B36E2F">
              <w:rPr>
                <w:lang w:val="nl-NL"/>
              </w:rPr>
              <w:t>:</w:t>
            </w:r>
          </w:p>
          <w:p w14:paraId="5229A027" w14:textId="2858FDEA" w:rsidR="00B36E2F" w:rsidRDefault="00B36E2F" w:rsidP="00B36E2F">
            <w:pPr>
              <w:pStyle w:val="ListParagraph"/>
              <w:numPr>
                <w:ilvl w:val="0"/>
                <w:numId w:val="18"/>
              </w:numPr>
              <w:spacing w:after="0"/>
              <w:ind w:left="714" w:hanging="357"/>
              <w:rPr>
                <w:lang w:val="nl-NL"/>
              </w:rPr>
            </w:pPr>
            <w:r>
              <w:rPr>
                <w:lang w:val="nl-NL"/>
              </w:rPr>
              <w:t>Testresultaten m.b.t.</w:t>
            </w:r>
            <w:r w:rsidR="001F3CFB" w:rsidRPr="00F036AB">
              <w:rPr>
                <w:lang w:val="nl-NL"/>
              </w:rPr>
              <w:t xml:space="preserve"> </w:t>
            </w:r>
            <w:r>
              <w:rPr>
                <w:lang w:val="nl-NL"/>
              </w:rPr>
              <w:t xml:space="preserve">persoonlijkheid of </w:t>
            </w:r>
            <w:r w:rsidR="001F3CFB" w:rsidRPr="00F036AB">
              <w:rPr>
                <w:lang w:val="nl-NL"/>
              </w:rPr>
              <w:t>leerproblemen, zoals dyslexie</w:t>
            </w:r>
            <w:r>
              <w:rPr>
                <w:lang w:val="nl-NL"/>
              </w:rPr>
              <w:t>.</w:t>
            </w:r>
          </w:p>
          <w:p w14:paraId="0DA99417" w14:textId="7911BF9D" w:rsidR="00AA7110" w:rsidRPr="00F036AB" w:rsidRDefault="008D4DF6" w:rsidP="00B36E2F">
            <w:pPr>
              <w:pStyle w:val="CommentText"/>
              <w:rPr>
                <w:lang w:val="nl-NL"/>
              </w:rPr>
            </w:pPr>
            <w:r w:rsidRPr="00F036AB">
              <w:rPr>
                <w:lang w:val="nl-NL"/>
              </w:rPr>
              <w:t xml:space="preserve">Op basis van de resultaten van het gebruik van </w:t>
            </w:r>
            <w:r w:rsidR="00E64689">
              <w:rPr>
                <w:lang w:val="nl-NL"/>
              </w:rPr>
              <w:t>Boom testcentrum</w:t>
            </w:r>
            <w:r w:rsidRPr="00F036AB">
              <w:rPr>
                <w:lang w:val="nl-NL"/>
              </w:rPr>
              <w:t xml:space="preserve"> kan de onderwijsinstelling zelf</w:t>
            </w:r>
            <w:r w:rsidR="0070557B" w:rsidRPr="00F036AB">
              <w:rPr>
                <w:lang w:val="nl-NL"/>
              </w:rPr>
              <w:t xml:space="preserve"> </w:t>
            </w:r>
            <w:r w:rsidRPr="00F036AB">
              <w:rPr>
                <w:lang w:val="nl-NL"/>
              </w:rPr>
              <w:t xml:space="preserve">conclusies trekken over eventuele beperkingen in de leerontwikkeling en de oorzaak daarvan. </w:t>
            </w:r>
            <w:r w:rsidR="00AA7110" w:rsidRPr="00F036AB">
              <w:rPr>
                <w:lang w:val="nl-NL"/>
              </w:rPr>
              <w:t xml:space="preserve">Leerresultaten en de gegevens van onze gebruikers beschouwen wij </w:t>
            </w:r>
            <w:r w:rsidRPr="00F036AB">
              <w:rPr>
                <w:lang w:val="nl-NL"/>
              </w:rPr>
              <w:t xml:space="preserve">te allen tijde </w:t>
            </w:r>
            <w:r w:rsidR="00AA7110" w:rsidRPr="00F036AB">
              <w:rPr>
                <w:lang w:val="nl-NL"/>
              </w:rPr>
              <w:t xml:space="preserve">als </w:t>
            </w:r>
            <w:r w:rsidRPr="00F036AB">
              <w:rPr>
                <w:lang w:val="nl-NL"/>
              </w:rPr>
              <w:t>privacy</w:t>
            </w:r>
            <w:r w:rsidR="00AA7110" w:rsidRPr="00F036AB">
              <w:rPr>
                <w:lang w:val="nl-NL"/>
              </w:rPr>
              <w:t>gevoelige gegevens, waarbij wij hoge eisen stellen aan de betrouwbaarheid en veiligheid van onze systemen.</w:t>
            </w:r>
          </w:p>
        </w:tc>
      </w:tr>
    </w:tbl>
    <w:p w14:paraId="5ED86B35" w14:textId="77777777" w:rsidR="00D548EC" w:rsidRPr="00F814DC" w:rsidRDefault="00D548EC">
      <w:pPr>
        <w:rPr>
          <w:lang w:val="nl-NL"/>
        </w:rPr>
      </w:pPr>
      <w:r w:rsidRPr="00F814DC">
        <w:rPr>
          <w:lang w:val="nl-NL"/>
        </w:rPr>
        <w:br w:type="page"/>
      </w:r>
    </w:p>
    <w:tbl>
      <w:tblPr>
        <w:tblStyle w:val="TableGrid"/>
        <w:tblW w:w="0" w:type="auto"/>
        <w:tblLook w:val="04A0" w:firstRow="1" w:lastRow="0" w:firstColumn="1" w:lastColumn="0" w:noHBand="0" w:noVBand="1"/>
      </w:tblPr>
      <w:tblGrid>
        <w:gridCol w:w="4531"/>
        <w:gridCol w:w="4531"/>
      </w:tblGrid>
      <w:tr w:rsidR="004C2278" w:rsidRPr="004814B0" w14:paraId="7C6924B1" w14:textId="77777777" w:rsidTr="00AA7110">
        <w:tc>
          <w:tcPr>
            <w:tcW w:w="4531" w:type="dxa"/>
          </w:tcPr>
          <w:p w14:paraId="748515D2" w14:textId="087DD81C" w:rsidR="004C2278" w:rsidRPr="0070226C" w:rsidRDefault="004C2278" w:rsidP="00AA7110">
            <w:pPr>
              <w:rPr>
                <w:highlight w:val="yellow"/>
                <w:lang w:val="nl-NL"/>
              </w:rPr>
            </w:pPr>
            <w:r w:rsidRPr="00B36E2F">
              <w:rPr>
                <w:lang w:val="nl-NL"/>
              </w:rPr>
              <w:t>Bewaartermijn:</w:t>
            </w:r>
          </w:p>
        </w:tc>
        <w:tc>
          <w:tcPr>
            <w:tcW w:w="4531" w:type="dxa"/>
          </w:tcPr>
          <w:p w14:paraId="22C50C2F" w14:textId="3A156C2D" w:rsidR="004C2278" w:rsidRPr="00903B80" w:rsidRDefault="00B36E2F" w:rsidP="00B36E2F">
            <w:pPr>
              <w:rPr>
                <w:lang w:val="nl-NL"/>
              </w:rPr>
            </w:pPr>
            <w:r w:rsidRPr="00903B80">
              <w:rPr>
                <w:lang w:val="nl-NL"/>
              </w:rPr>
              <w:t xml:space="preserve">Boom uitgevers Amsterdam </w:t>
            </w:r>
            <w:r w:rsidR="00D548EC" w:rsidRPr="00903B80">
              <w:rPr>
                <w:lang w:val="nl-NL"/>
              </w:rPr>
              <w:t xml:space="preserve">verwijdert  de verkregen persoonsgegevens in </w:t>
            </w:r>
            <w:r w:rsidR="00E64689" w:rsidRPr="00903B80">
              <w:rPr>
                <w:lang w:val="nl-NL"/>
              </w:rPr>
              <w:t>Boom testcentrum</w:t>
            </w:r>
            <w:r w:rsidR="00D548EC" w:rsidRPr="00903B80">
              <w:rPr>
                <w:lang w:val="nl-NL"/>
              </w:rPr>
              <w:t xml:space="preserve"> na verloop van tijd. </w:t>
            </w:r>
          </w:p>
          <w:p w14:paraId="62E3BE15" w14:textId="1C1029FF" w:rsidR="00903B80" w:rsidRDefault="00903B80" w:rsidP="00B36E2F">
            <w:pPr>
              <w:rPr>
                <w:lang w:val="nl-NL"/>
              </w:rPr>
            </w:pPr>
            <w:r w:rsidRPr="00903B80">
              <w:rPr>
                <w:lang w:val="nl-NL"/>
              </w:rPr>
              <w:t>We maken onderscheid tussen Onderwijsinstellingen en GGZ-instellingen.</w:t>
            </w:r>
          </w:p>
          <w:p w14:paraId="0EC2CEB4" w14:textId="50120AE4" w:rsidR="00903B80" w:rsidRPr="00903B80" w:rsidRDefault="00903B80" w:rsidP="00B36E2F">
            <w:pPr>
              <w:rPr>
                <w:lang w:val="nl-NL"/>
              </w:rPr>
            </w:pPr>
            <w:r w:rsidRPr="00903B80">
              <w:rPr>
                <w:lang w:val="nl-NL"/>
              </w:rPr>
              <w:t>Bij Onderwijsinstellingen geldt:</w:t>
            </w:r>
          </w:p>
          <w:p w14:paraId="5B3C112F" w14:textId="179FEAA2" w:rsidR="00B36E2F" w:rsidRPr="00903B80" w:rsidRDefault="00B36E2F" w:rsidP="00903B80">
            <w:pPr>
              <w:pStyle w:val="ListParagraph"/>
              <w:numPr>
                <w:ilvl w:val="0"/>
                <w:numId w:val="18"/>
              </w:numPr>
              <w:rPr>
                <w:lang w:val="nl-NL"/>
              </w:rPr>
            </w:pPr>
            <w:r w:rsidRPr="00903B80">
              <w:rPr>
                <w:lang w:val="nl-NL"/>
              </w:rPr>
              <w:t>De gegevens van de onderwijsdeelnemer worden 5 jaar na de laatste afnamedatum verwijderd.</w:t>
            </w:r>
          </w:p>
          <w:p w14:paraId="23B1CA6A" w14:textId="77777777" w:rsidR="00903B80" w:rsidRDefault="00B36E2F" w:rsidP="00903B80">
            <w:pPr>
              <w:pStyle w:val="ListParagraph"/>
              <w:numPr>
                <w:ilvl w:val="0"/>
                <w:numId w:val="18"/>
              </w:numPr>
              <w:rPr>
                <w:lang w:val="nl-NL"/>
              </w:rPr>
            </w:pPr>
            <w:r w:rsidRPr="00903B80">
              <w:rPr>
                <w:lang w:val="nl-NL"/>
              </w:rPr>
              <w:t>De gegevens van de testafnemer worden 5 jaar na de laatste inlog verwijderd.</w:t>
            </w:r>
          </w:p>
          <w:p w14:paraId="6C6D7DC2" w14:textId="77777777" w:rsidR="00903B80" w:rsidRPr="00903B80" w:rsidRDefault="00903B80" w:rsidP="00903B80">
            <w:pPr>
              <w:rPr>
                <w:lang w:val="nl-NL"/>
              </w:rPr>
            </w:pPr>
            <w:r w:rsidRPr="00903B80">
              <w:rPr>
                <w:lang w:val="nl-NL"/>
              </w:rPr>
              <w:t>Bij GGZ-instellingen geldt:</w:t>
            </w:r>
          </w:p>
          <w:p w14:paraId="3F7E5BFC" w14:textId="666B94EE" w:rsidR="00903B80" w:rsidRPr="00903B80" w:rsidRDefault="00903B80" w:rsidP="00903B80">
            <w:pPr>
              <w:pStyle w:val="ListParagraph"/>
              <w:numPr>
                <w:ilvl w:val="0"/>
                <w:numId w:val="27"/>
              </w:numPr>
              <w:rPr>
                <w:lang w:val="nl-NL"/>
              </w:rPr>
            </w:pPr>
            <w:r w:rsidRPr="00903B80">
              <w:rPr>
                <w:lang w:val="nl-NL"/>
              </w:rPr>
              <w:t>De gegevens van de cliënt worden 5 jaar na de laatste afnamedatum verwijderd.</w:t>
            </w:r>
          </w:p>
          <w:p w14:paraId="30A31BAA" w14:textId="52B72425" w:rsidR="00903B80" w:rsidRPr="00903B80" w:rsidRDefault="00903B80" w:rsidP="00903B80">
            <w:pPr>
              <w:pStyle w:val="ListParagraph"/>
              <w:numPr>
                <w:ilvl w:val="0"/>
                <w:numId w:val="27"/>
              </w:numPr>
              <w:rPr>
                <w:lang w:val="nl-NL"/>
              </w:rPr>
            </w:pPr>
            <w:r w:rsidRPr="00903B80">
              <w:rPr>
                <w:lang w:val="nl-NL"/>
              </w:rPr>
              <w:t>De gegevens van de testafnemer worden 5 jaar na de laatste inlog verwijderd.</w:t>
            </w:r>
          </w:p>
        </w:tc>
      </w:tr>
    </w:tbl>
    <w:p w14:paraId="30BA41FB" w14:textId="599A5C63" w:rsidR="00D3784E" w:rsidRPr="00386586" w:rsidRDefault="00846DB2" w:rsidP="00AA7110">
      <w:pPr>
        <w:pStyle w:val="Heading2"/>
        <w:rPr>
          <w:lang w:val="nl-NL"/>
        </w:rPr>
      </w:pPr>
      <w:r w:rsidRPr="00386586">
        <w:rPr>
          <w:lang w:val="nl-NL"/>
        </w:rPr>
        <w:t>D</w:t>
      </w:r>
      <w:r w:rsidR="00D3784E" w:rsidRPr="00386586">
        <w:rPr>
          <w:lang w:val="nl-NL"/>
        </w:rPr>
        <w:t xml:space="preserve">. Algemene informatie over getroffen beveiligingsmaatregelen: </w:t>
      </w:r>
    </w:p>
    <w:p w14:paraId="7481FAFE" w14:textId="65CFFE89" w:rsidR="002736D4" w:rsidRPr="00386586" w:rsidRDefault="00D3784E" w:rsidP="00D3784E">
      <w:pPr>
        <w:rPr>
          <w:lang w:val="nl-NL"/>
        </w:rPr>
      </w:pPr>
      <w:r w:rsidRPr="00386586">
        <w:rPr>
          <w:lang w:val="nl-NL"/>
        </w:rPr>
        <w:t xml:space="preserve">Voor de genomen veiligheidsmaatregelen </w:t>
      </w:r>
      <w:r w:rsidR="002736D4" w:rsidRPr="00386586">
        <w:rPr>
          <w:lang w:val="nl-NL"/>
        </w:rPr>
        <w:t xml:space="preserve">verwijzen wij u </w:t>
      </w:r>
      <w:r w:rsidRPr="00386586">
        <w:rPr>
          <w:lang w:val="nl-NL"/>
        </w:rPr>
        <w:t xml:space="preserve">naar Bijlage 2 </w:t>
      </w:r>
      <w:r w:rsidR="002736D4" w:rsidRPr="00386586">
        <w:rPr>
          <w:lang w:val="nl-NL"/>
        </w:rPr>
        <w:t xml:space="preserve">van </w:t>
      </w:r>
      <w:r w:rsidRPr="00386586">
        <w:rPr>
          <w:lang w:val="nl-NL"/>
        </w:rPr>
        <w:t xml:space="preserve">de </w:t>
      </w:r>
      <w:r w:rsidR="00F929FF" w:rsidRPr="00386586">
        <w:rPr>
          <w:lang w:val="nl-NL"/>
        </w:rPr>
        <w:t>Verwerker</w:t>
      </w:r>
      <w:r w:rsidRPr="00386586">
        <w:rPr>
          <w:lang w:val="nl-NL"/>
        </w:rPr>
        <w:t>sovereenkomst.</w:t>
      </w:r>
    </w:p>
    <w:p w14:paraId="3986E70C" w14:textId="781F9584" w:rsidR="00D3784E" w:rsidRPr="00386586" w:rsidRDefault="002736D4" w:rsidP="00D3784E">
      <w:pPr>
        <w:rPr>
          <w:lang w:val="nl-NL"/>
        </w:rPr>
      </w:pPr>
      <w:r w:rsidRPr="00386586">
        <w:rPr>
          <w:lang w:val="nl-NL"/>
        </w:rPr>
        <w:t xml:space="preserve">Persoonsgegevens worden door </w:t>
      </w:r>
      <w:r w:rsidR="00386586" w:rsidRPr="00386586">
        <w:rPr>
          <w:lang w:val="nl-NL"/>
        </w:rPr>
        <w:t>Boom uitgevers Amsterdam</w:t>
      </w:r>
      <w:r w:rsidRPr="00386586">
        <w:rPr>
          <w:lang w:val="nl-NL"/>
        </w:rPr>
        <w:t xml:space="preserve"> verwerkt </w:t>
      </w:r>
      <w:r w:rsidR="00655C0D" w:rsidRPr="00386586">
        <w:rPr>
          <w:lang w:val="nl-NL"/>
        </w:rPr>
        <w:t xml:space="preserve">binnen </w:t>
      </w:r>
      <w:r w:rsidRPr="00386586">
        <w:rPr>
          <w:lang w:val="nl-NL"/>
        </w:rPr>
        <w:t xml:space="preserve">Nederland. Een overzicht van de </w:t>
      </w:r>
      <w:r w:rsidR="008D4DF6" w:rsidRPr="00386586">
        <w:rPr>
          <w:lang w:val="nl-NL"/>
        </w:rPr>
        <w:t xml:space="preserve">plaats van </w:t>
      </w:r>
      <w:r w:rsidRPr="00386586">
        <w:rPr>
          <w:lang w:val="nl-NL"/>
        </w:rPr>
        <w:t>opslag en verwerking</w:t>
      </w:r>
      <w:r w:rsidR="008D4DF6" w:rsidRPr="00386586">
        <w:rPr>
          <w:lang w:val="nl-NL"/>
        </w:rPr>
        <w:t>en</w:t>
      </w:r>
      <w:r w:rsidRPr="00386586">
        <w:rPr>
          <w:lang w:val="nl-NL"/>
        </w:rPr>
        <w:t xml:space="preserve"> </w:t>
      </w:r>
      <w:r w:rsidR="008D4DF6" w:rsidRPr="00386586">
        <w:rPr>
          <w:lang w:val="nl-NL"/>
        </w:rPr>
        <w:t xml:space="preserve">door </w:t>
      </w:r>
      <w:r w:rsidRPr="00386586">
        <w:rPr>
          <w:lang w:val="nl-NL"/>
        </w:rPr>
        <w:t>sub</w:t>
      </w:r>
      <w:r w:rsidR="00F929FF" w:rsidRPr="00386586">
        <w:rPr>
          <w:lang w:val="nl-NL"/>
        </w:rPr>
        <w:t>verwerker</w:t>
      </w:r>
      <w:r w:rsidRPr="00386586">
        <w:rPr>
          <w:lang w:val="nl-NL"/>
        </w:rPr>
        <w:t xml:space="preserve">s die worden ingeschakeld door </w:t>
      </w:r>
      <w:r w:rsidR="00386586" w:rsidRPr="00386586">
        <w:rPr>
          <w:lang w:val="nl-NL"/>
        </w:rPr>
        <w:t>Boom uitgevers Amsterdam</w:t>
      </w:r>
      <w:r w:rsidRPr="00386586">
        <w:rPr>
          <w:lang w:val="nl-NL"/>
        </w:rPr>
        <w:t xml:space="preserve"> treft u hieronder.</w:t>
      </w:r>
    </w:p>
    <w:p w14:paraId="075A8C1B" w14:textId="07D35729" w:rsidR="00D3784E" w:rsidRPr="00386586" w:rsidRDefault="00846DB2" w:rsidP="00595036">
      <w:pPr>
        <w:pStyle w:val="Heading2"/>
        <w:rPr>
          <w:lang w:val="nl-NL"/>
        </w:rPr>
      </w:pPr>
      <w:r w:rsidRPr="00386586">
        <w:rPr>
          <w:lang w:val="nl-NL"/>
        </w:rPr>
        <w:t>E</w:t>
      </w:r>
      <w:r w:rsidR="00D3784E" w:rsidRPr="00386586">
        <w:rPr>
          <w:lang w:val="nl-NL"/>
        </w:rPr>
        <w:t>. Sub</w:t>
      </w:r>
      <w:r w:rsidR="00F929FF" w:rsidRPr="00386586">
        <w:rPr>
          <w:lang w:val="nl-NL"/>
        </w:rPr>
        <w:t>verwerker</w:t>
      </w:r>
      <w:r w:rsidR="00D3784E" w:rsidRPr="00386586">
        <w:rPr>
          <w:lang w:val="nl-NL"/>
        </w:rPr>
        <w:t>s</w:t>
      </w:r>
    </w:p>
    <w:p w14:paraId="37BDABFF" w14:textId="258DDE4A" w:rsidR="00595036" w:rsidRPr="00F036AB" w:rsidRDefault="00595036" w:rsidP="00D3784E">
      <w:pPr>
        <w:rPr>
          <w:lang w:val="nl-NL"/>
        </w:rPr>
      </w:pPr>
      <w:r w:rsidRPr="00386586">
        <w:rPr>
          <w:lang w:val="nl-NL"/>
        </w:rPr>
        <w:t xml:space="preserve">Voor de verwerking van persoonsgegevens worden door </w:t>
      </w:r>
      <w:r w:rsidR="00386586" w:rsidRPr="00386586">
        <w:rPr>
          <w:lang w:val="nl-NL"/>
        </w:rPr>
        <w:t>Boom uitgevers Amsterdam</w:t>
      </w:r>
      <w:r w:rsidR="00D3784E" w:rsidRPr="00386586">
        <w:rPr>
          <w:lang w:val="nl-NL"/>
        </w:rPr>
        <w:t xml:space="preserve"> </w:t>
      </w:r>
      <w:r w:rsidRPr="00386586">
        <w:rPr>
          <w:lang w:val="nl-NL"/>
        </w:rPr>
        <w:t>sub</w:t>
      </w:r>
      <w:r w:rsidR="00F929FF" w:rsidRPr="00386586">
        <w:rPr>
          <w:lang w:val="nl-NL"/>
        </w:rPr>
        <w:t>verwerker</w:t>
      </w:r>
      <w:r w:rsidRPr="00386586">
        <w:rPr>
          <w:lang w:val="nl-NL"/>
        </w:rPr>
        <w:t>s</w:t>
      </w:r>
      <w:r w:rsidRPr="00F036AB">
        <w:rPr>
          <w:lang w:val="nl-NL"/>
        </w:rPr>
        <w:t xml:space="preserve"> ingeschakeld.</w:t>
      </w:r>
      <w:r w:rsidR="006E5E5D" w:rsidRPr="00F036AB">
        <w:rPr>
          <w:lang w:val="nl-NL"/>
        </w:rPr>
        <w:br/>
      </w:r>
    </w:p>
    <w:tbl>
      <w:tblPr>
        <w:tblStyle w:val="TableGrid"/>
        <w:tblW w:w="0" w:type="auto"/>
        <w:tblLook w:val="04A0" w:firstRow="1" w:lastRow="0" w:firstColumn="1" w:lastColumn="0" w:noHBand="0" w:noVBand="1"/>
      </w:tblPr>
      <w:tblGrid>
        <w:gridCol w:w="3020"/>
        <w:gridCol w:w="3021"/>
        <w:gridCol w:w="3021"/>
      </w:tblGrid>
      <w:tr w:rsidR="00595036" w:rsidRPr="008A74A2" w14:paraId="17562696" w14:textId="77777777" w:rsidTr="002736D4">
        <w:tc>
          <w:tcPr>
            <w:tcW w:w="3020" w:type="dxa"/>
            <w:shd w:val="clear" w:color="auto" w:fill="E7E6E6" w:themeFill="background2"/>
          </w:tcPr>
          <w:p w14:paraId="027C145B" w14:textId="77777777" w:rsidR="00595036" w:rsidRPr="00F036AB" w:rsidRDefault="00595036" w:rsidP="00D3784E">
            <w:pPr>
              <w:rPr>
                <w:lang w:val="nl-NL"/>
              </w:rPr>
            </w:pPr>
            <w:r w:rsidRPr="00F036AB">
              <w:rPr>
                <w:lang w:val="nl-NL"/>
              </w:rPr>
              <w:t>Naam:</w:t>
            </w:r>
          </w:p>
        </w:tc>
        <w:tc>
          <w:tcPr>
            <w:tcW w:w="3021" w:type="dxa"/>
            <w:shd w:val="clear" w:color="auto" w:fill="E7E6E6" w:themeFill="background2"/>
          </w:tcPr>
          <w:p w14:paraId="6D259BCE" w14:textId="77777777" w:rsidR="00595036" w:rsidRPr="00F036AB" w:rsidRDefault="00595036" w:rsidP="00D3784E">
            <w:pPr>
              <w:rPr>
                <w:lang w:val="nl-NL"/>
              </w:rPr>
            </w:pPr>
            <w:r w:rsidRPr="00F036AB">
              <w:rPr>
                <w:lang w:val="nl-NL"/>
              </w:rPr>
              <w:t>Omschrijving:</w:t>
            </w:r>
          </w:p>
        </w:tc>
        <w:tc>
          <w:tcPr>
            <w:tcW w:w="3021" w:type="dxa"/>
            <w:shd w:val="clear" w:color="auto" w:fill="E7E6E6" w:themeFill="background2"/>
          </w:tcPr>
          <w:p w14:paraId="56D7293E" w14:textId="77777777" w:rsidR="00595036" w:rsidRPr="00F036AB" w:rsidRDefault="00595036" w:rsidP="002736D4">
            <w:pPr>
              <w:rPr>
                <w:lang w:val="nl-NL"/>
              </w:rPr>
            </w:pPr>
            <w:r w:rsidRPr="00F036AB">
              <w:rPr>
                <w:lang w:val="nl-NL"/>
              </w:rPr>
              <w:t xml:space="preserve">Land van </w:t>
            </w:r>
            <w:r w:rsidR="002736D4" w:rsidRPr="00F036AB">
              <w:rPr>
                <w:lang w:val="nl-NL"/>
              </w:rPr>
              <w:t>opslag en verwerking</w:t>
            </w:r>
            <w:r w:rsidRPr="00F036AB">
              <w:rPr>
                <w:lang w:val="nl-NL"/>
              </w:rPr>
              <w:t>:</w:t>
            </w:r>
          </w:p>
        </w:tc>
      </w:tr>
      <w:tr w:rsidR="00595036" w:rsidRPr="00F036AB" w14:paraId="767E78AE" w14:textId="77777777" w:rsidTr="00595036">
        <w:tc>
          <w:tcPr>
            <w:tcW w:w="3020" w:type="dxa"/>
          </w:tcPr>
          <w:p w14:paraId="5F131405" w14:textId="26C8E547" w:rsidR="00595036" w:rsidRPr="009A6929" w:rsidRDefault="009A6929" w:rsidP="00D3784E">
            <w:pPr>
              <w:rPr>
                <w:color w:val="000000" w:themeColor="text1"/>
                <w:lang w:val="nl-NL"/>
              </w:rPr>
            </w:pPr>
            <w:r w:rsidRPr="009A6929">
              <w:rPr>
                <w:color w:val="000000" w:themeColor="text1"/>
                <w:lang w:val="nl-NL"/>
              </w:rPr>
              <w:t>Ambrac</w:t>
            </w:r>
          </w:p>
        </w:tc>
        <w:tc>
          <w:tcPr>
            <w:tcW w:w="3021" w:type="dxa"/>
          </w:tcPr>
          <w:p w14:paraId="79F3E140" w14:textId="3A23DE22" w:rsidR="00595036" w:rsidRPr="009A6929" w:rsidRDefault="009A6929" w:rsidP="00D3784E">
            <w:pPr>
              <w:rPr>
                <w:color w:val="000000" w:themeColor="text1"/>
                <w:lang w:val="nl-NL"/>
              </w:rPr>
            </w:pPr>
            <w:r w:rsidRPr="009A6929">
              <w:rPr>
                <w:color w:val="000000" w:themeColor="text1"/>
                <w:lang w:val="nl-NL"/>
              </w:rPr>
              <w:t>Programmeur</w:t>
            </w:r>
          </w:p>
        </w:tc>
        <w:tc>
          <w:tcPr>
            <w:tcW w:w="3021" w:type="dxa"/>
          </w:tcPr>
          <w:p w14:paraId="1C15417F" w14:textId="009F4554" w:rsidR="00595036" w:rsidRPr="00F036AB" w:rsidRDefault="009A6929" w:rsidP="005F68C0">
            <w:pPr>
              <w:rPr>
                <w:color w:val="000000" w:themeColor="text1"/>
                <w:lang w:val="nl-NL"/>
              </w:rPr>
            </w:pPr>
            <w:r>
              <w:rPr>
                <w:color w:val="000000" w:themeColor="text1"/>
                <w:lang w:val="nl-NL"/>
              </w:rPr>
              <w:t>Nederland</w:t>
            </w:r>
          </w:p>
        </w:tc>
      </w:tr>
      <w:tr w:rsidR="00595036" w:rsidRPr="00F036AB" w14:paraId="3EB99775" w14:textId="77777777" w:rsidTr="00595036">
        <w:tc>
          <w:tcPr>
            <w:tcW w:w="3020" w:type="dxa"/>
          </w:tcPr>
          <w:p w14:paraId="6CE8995A" w14:textId="6D1B2A64" w:rsidR="00595036" w:rsidRPr="00F036AB" w:rsidRDefault="00386586" w:rsidP="002736D4">
            <w:pPr>
              <w:rPr>
                <w:color w:val="000000" w:themeColor="text1"/>
                <w:lang w:val="en-GB"/>
              </w:rPr>
            </w:pPr>
            <w:r>
              <w:rPr>
                <w:color w:val="000000" w:themeColor="text1"/>
                <w:lang w:val="en-GB"/>
              </w:rPr>
              <w:t>Cyso</w:t>
            </w:r>
            <w:r w:rsidR="0049313C">
              <w:rPr>
                <w:color w:val="000000" w:themeColor="text1"/>
                <w:lang w:val="en-GB"/>
              </w:rPr>
              <w:t>, Alkmaar</w:t>
            </w:r>
          </w:p>
        </w:tc>
        <w:tc>
          <w:tcPr>
            <w:tcW w:w="3021" w:type="dxa"/>
          </w:tcPr>
          <w:p w14:paraId="32501280" w14:textId="357D0DC0" w:rsidR="00595036" w:rsidRPr="00F036AB" w:rsidRDefault="00386586" w:rsidP="00D3784E">
            <w:pPr>
              <w:rPr>
                <w:color w:val="000000" w:themeColor="text1"/>
                <w:lang w:val="nl-NL"/>
              </w:rPr>
            </w:pPr>
            <w:r>
              <w:rPr>
                <w:color w:val="000000" w:themeColor="text1"/>
                <w:lang w:val="nl-NL"/>
              </w:rPr>
              <w:t>Hosting</w:t>
            </w:r>
            <w:r w:rsidR="0049313C">
              <w:rPr>
                <w:color w:val="000000" w:themeColor="text1"/>
                <w:lang w:val="nl-NL"/>
              </w:rPr>
              <w:t>provider</w:t>
            </w:r>
          </w:p>
        </w:tc>
        <w:tc>
          <w:tcPr>
            <w:tcW w:w="3021" w:type="dxa"/>
          </w:tcPr>
          <w:p w14:paraId="44E27544" w14:textId="1C92AFC7" w:rsidR="00595036" w:rsidRPr="00F036AB" w:rsidRDefault="00386586" w:rsidP="00D3784E">
            <w:pPr>
              <w:rPr>
                <w:color w:val="000000" w:themeColor="text1"/>
                <w:lang w:val="nl-NL"/>
              </w:rPr>
            </w:pPr>
            <w:r>
              <w:rPr>
                <w:color w:val="000000" w:themeColor="text1"/>
                <w:lang w:val="nl-NL"/>
              </w:rPr>
              <w:t>Nederland</w:t>
            </w:r>
          </w:p>
        </w:tc>
      </w:tr>
    </w:tbl>
    <w:p w14:paraId="70F4309A" w14:textId="54E575E3" w:rsidR="00D3784E" w:rsidRPr="00F036AB" w:rsidRDefault="00846DB2" w:rsidP="00595036">
      <w:pPr>
        <w:pStyle w:val="Heading2"/>
        <w:rPr>
          <w:lang w:val="nl-NL"/>
        </w:rPr>
      </w:pPr>
      <w:r w:rsidRPr="00386586">
        <w:rPr>
          <w:lang w:val="nl-NL"/>
        </w:rPr>
        <w:t>F</w:t>
      </w:r>
      <w:r w:rsidR="00D3784E" w:rsidRPr="00386586">
        <w:rPr>
          <w:lang w:val="nl-NL"/>
        </w:rPr>
        <w:t>. Contactgegevens</w:t>
      </w:r>
    </w:p>
    <w:p w14:paraId="62F980A0" w14:textId="1F6AC766" w:rsidR="00D3784E" w:rsidRPr="00F036AB" w:rsidRDefault="00D3784E" w:rsidP="00D3784E">
      <w:pPr>
        <w:rPr>
          <w:color w:val="000000" w:themeColor="text1"/>
          <w:lang w:val="nl-NL"/>
        </w:rPr>
      </w:pPr>
      <w:r w:rsidRPr="00F036AB">
        <w:rPr>
          <w:lang w:val="nl-NL"/>
        </w:rPr>
        <w:t xml:space="preserve">Voor vragen of opmerkingen over deze </w:t>
      </w:r>
      <w:r w:rsidR="00595036" w:rsidRPr="00F036AB">
        <w:rPr>
          <w:lang w:val="nl-NL"/>
        </w:rPr>
        <w:t>Privacy B</w:t>
      </w:r>
      <w:r w:rsidRPr="00F036AB">
        <w:rPr>
          <w:lang w:val="nl-NL"/>
        </w:rPr>
        <w:t xml:space="preserve">ijsluiter of de werking van </w:t>
      </w:r>
      <w:r w:rsidR="00595036" w:rsidRPr="00F036AB">
        <w:rPr>
          <w:lang w:val="nl-NL"/>
        </w:rPr>
        <w:t>onze</w:t>
      </w:r>
      <w:r w:rsidRPr="00F036AB">
        <w:rPr>
          <w:lang w:val="nl-NL"/>
        </w:rPr>
        <w:t xml:space="preserve"> </w:t>
      </w:r>
      <w:r w:rsidR="00EA4D6A" w:rsidRPr="00F036AB">
        <w:rPr>
          <w:lang w:val="nl-NL"/>
        </w:rPr>
        <w:t>digitale leermiddelen</w:t>
      </w:r>
      <w:r w:rsidRPr="00F036AB">
        <w:rPr>
          <w:lang w:val="nl-NL"/>
        </w:rPr>
        <w:t xml:space="preserve">, kunt u terecht </w:t>
      </w:r>
      <w:r w:rsidRPr="00F036AB">
        <w:rPr>
          <w:color w:val="000000" w:themeColor="text1"/>
          <w:lang w:val="nl-NL"/>
        </w:rPr>
        <w:t xml:space="preserve">bij: </w:t>
      </w:r>
      <w:bookmarkStart w:id="4" w:name="_Hlk510175768"/>
      <w:r w:rsidR="009A6929" w:rsidRPr="009A6929">
        <w:rPr>
          <w:color w:val="000000" w:themeColor="text1"/>
          <w:lang w:val="nl-NL"/>
        </w:rPr>
        <w:t xml:space="preserve">Klantenservice Boom uitgevers Amsterdam, </w:t>
      </w:r>
      <w:bookmarkEnd w:id="4"/>
      <w:r w:rsidR="008D3C84">
        <w:rPr>
          <w:color w:val="000000" w:themeColor="text1"/>
          <w:lang w:val="nl-NL"/>
        </w:rPr>
        <w:fldChar w:fldCharType="begin"/>
      </w:r>
      <w:r w:rsidR="008D3C84">
        <w:rPr>
          <w:color w:val="000000" w:themeColor="text1"/>
          <w:lang w:val="nl-NL"/>
        </w:rPr>
        <w:instrText xml:space="preserve"> HYPERLINK "mailto:</w:instrText>
      </w:r>
      <w:r w:rsidR="008D3C84" w:rsidRPr="008D3C84">
        <w:rPr>
          <w:color w:val="000000" w:themeColor="text1"/>
          <w:lang w:val="nl-NL"/>
        </w:rPr>
        <w:instrText>klantenservice@boomtest</w:instrText>
      </w:r>
      <w:r w:rsidR="008D3C84">
        <w:rPr>
          <w:color w:val="000000" w:themeColor="text1"/>
          <w:lang w:val="nl-NL"/>
        </w:rPr>
        <w:instrText>onderwijs</w:instrText>
      </w:r>
      <w:r w:rsidR="008D3C84" w:rsidRPr="008D3C84">
        <w:rPr>
          <w:color w:val="000000" w:themeColor="text1"/>
          <w:lang w:val="nl-NL"/>
        </w:rPr>
        <w:instrText>.nl</w:instrText>
      </w:r>
      <w:r w:rsidR="008D3C84">
        <w:rPr>
          <w:color w:val="000000" w:themeColor="text1"/>
          <w:lang w:val="nl-NL"/>
        </w:rPr>
        <w:instrText xml:space="preserve">" </w:instrText>
      </w:r>
      <w:r w:rsidR="008D3C84">
        <w:rPr>
          <w:color w:val="000000" w:themeColor="text1"/>
          <w:lang w:val="nl-NL"/>
        </w:rPr>
        <w:fldChar w:fldCharType="separate"/>
      </w:r>
      <w:r w:rsidR="008D3C84" w:rsidRPr="005B143E">
        <w:rPr>
          <w:rStyle w:val="Hyperlink"/>
          <w:lang w:val="nl-NL"/>
        </w:rPr>
        <w:t>klantenservice@boomtestonderwijs.nl</w:t>
      </w:r>
      <w:r w:rsidR="008D3C84">
        <w:rPr>
          <w:color w:val="000000" w:themeColor="text1"/>
          <w:lang w:val="nl-NL"/>
        </w:rPr>
        <w:fldChar w:fldCharType="end"/>
      </w:r>
      <w:r w:rsidR="00595036" w:rsidRPr="00F036AB">
        <w:rPr>
          <w:color w:val="000000" w:themeColor="text1"/>
          <w:lang w:val="nl-NL"/>
        </w:rPr>
        <w:t xml:space="preserve">. </w:t>
      </w:r>
    </w:p>
    <w:p w14:paraId="18C85D8F" w14:textId="4A918586" w:rsidR="00D3784E" w:rsidRPr="00F036AB" w:rsidRDefault="00846DB2" w:rsidP="00E11E41">
      <w:pPr>
        <w:pStyle w:val="Heading2"/>
        <w:rPr>
          <w:lang w:val="nl-NL"/>
        </w:rPr>
      </w:pPr>
      <w:r w:rsidRPr="00386586">
        <w:rPr>
          <w:lang w:val="nl-NL"/>
        </w:rPr>
        <w:t>I</w:t>
      </w:r>
      <w:r w:rsidR="00D3784E" w:rsidRPr="00386586">
        <w:rPr>
          <w:lang w:val="nl-NL"/>
        </w:rPr>
        <w:t>. Versie</w:t>
      </w:r>
    </w:p>
    <w:p w14:paraId="59B9EBD9" w14:textId="21488D65" w:rsidR="00D3784E" w:rsidRPr="00F036AB" w:rsidRDefault="00595036" w:rsidP="00D3784E">
      <w:pPr>
        <w:rPr>
          <w:color w:val="000000" w:themeColor="text1"/>
          <w:lang w:val="nl-NL"/>
        </w:rPr>
      </w:pPr>
      <w:r w:rsidRPr="00F036AB">
        <w:rPr>
          <w:color w:val="000000" w:themeColor="text1"/>
          <w:lang w:val="nl-NL"/>
        </w:rPr>
        <w:t xml:space="preserve">Deze Privacy Bijsluiter is voor het laatst bijgewerkt op </w:t>
      </w:r>
      <w:r w:rsidR="005C726E">
        <w:rPr>
          <w:color w:val="000000" w:themeColor="text1"/>
          <w:lang w:val="nl-NL"/>
        </w:rPr>
        <w:t>10 januari</w:t>
      </w:r>
      <w:r w:rsidR="00EA02DB">
        <w:rPr>
          <w:color w:val="000000" w:themeColor="text1"/>
          <w:lang w:val="nl-NL"/>
        </w:rPr>
        <w:t xml:space="preserve"> 20</w:t>
      </w:r>
      <w:r w:rsidR="005C726E">
        <w:rPr>
          <w:color w:val="000000" w:themeColor="text1"/>
          <w:lang w:val="nl-NL"/>
        </w:rPr>
        <w:t>20</w:t>
      </w:r>
      <w:r w:rsidRPr="00F036AB">
        <w:rPr>
          <w:color w:val="000000" w:themeColor="text1"/>
          <w:lang w:val="nl-NL"/>
        </w:rPr>
        <w:t>.</w:t>
      </w:r>
    </w:p>
    <w:p w14:paraId="32AE4B2F" w14:textId="77777777" w:rsidR="003C4D17" w:rsidRDefault="003C4D17" w:rsidP="003C4D17">
      <w:pPr>
        <w:spacing w:before="0" w:after="160" w:line="259" w:lineRule="auto"/>
        <w:rPr>
          <w:color w:val="000000" w:themeColor="text1"/>
          <w:lang w:val="nl-NL"/>
        </w:rPr>
      </w:pPr>
    </w:p>
    <w:p w14:paraId="4E5D8903" w14:textId="77777777" w:rsidR="003C4D17" w:rsidRDefault="003C4D17" w:rsidP="003C4D17">
      <w:pPr>
        <w:spacing w:before="0" w:after="160" w:line="259" w:lineRule="auto"/>
        <w:rPr>
          <w:color w:val="000000" w:themeColor="text1"/>
          <w:lang w:val="nl-NL"/>
        </w:rPr>
      </w:pPr>
    </w:p>
    <w:p w14:paraId="36A314F5" w14:textId="77777777" w:rsidR="003C4D17" w:rsidRDefault="003C4D17" w:rsidP="003C4D17">
      <w:pPr>
        <w:spacing w:before="0" w:after="160" w:line="259" w:lineRule="auto"/>
        <w:rPr>
          <w:color w:val="000000" w:themeColor="text1"/>
          <w:lang w:val="nl-NL"/>
        </w:rPr>
      </w:pPr>
    </w:p>
    <w:p w14:paraId="29AEBE53" w14:textId="755E1D9D" w:rsidR="003C4D17" w:rsidRPr="003C4D17" w:rsidRDefault="003C4D17" w:rsidP="003C4D17">
      <w:pPr>
        <w:pStyle w:val="Heading2"/>
        <w:rPr>
          <w:rFonts w:ascii="Calibri" w:eastAsiaTheme="minorHAnsi" w:hAnsi="Calibri"/>
          <w:color w:val="000000" w:themeColor="text1"/>
          <w:sz w:val="20"/>
          <w:szCs w:val="20"/>
          <w:lang w:val="nl-NL"/>
        </w:rPr>
      </w:pPr>
      <w:r w:rsidRPr="00AB3230">
        <w:rPr>
          <w:rFonts w:eastAsia="Times New Roman"/>
          <w:lang w:val="nl-NL"/>
        </w:rPr>
        <w:t>Bijlage 2</w:t>
      </w:r>
    </w:p>
    <w:p w14:paraId="2FC83C36" w14:textId="77777777" w:rsidR="003C4D17" w:rsidRPr="00AB3230" w:rsidRDefault="003C4D17" w:rsidP="003C4D17">
      <w:pPr>
        <w:keepNext/>
        <w:keepLines/>
        <w:spacing w:before="240"/>
        <w:outlineLvl w:val="0"/>
        <w:rPr>
          <w:rFonts w:ascii="Calibri Light" w:eastAsia="Times New Roman" w:hAnsi="Calibri Light"/>
          <w:color w:val="2F5496"/>
          <w:sz w:val="52"/>
          <w:szCs w:val="32"/>
          <w:lang w:val="nl-NL"/>
        </w:rPr>
      </w:pPr>
      <w:r w:rsidRPr="00AB3230">
        <w:rPr>
          <w:rFonts w:ascii="Calibri Light" w:eastAsia="Times New Roman" w:hAnsi="Calibri Light"/>
          <w:color w:val="2F5496"/>
          <w:sz w:val="52"/>
          <w:szCs w:val="32"/>
          <w:lang w:val="nl-NL"/>
        </w:rPr>
        <w:t xml:space="preserve">Beveiligingsbijlage </w:t>
      </w:r>
      <w:r>
        <w:rPr>
          <w:rFonts w:ascii="Calibri Light" w:eastAsia="Times New Roman" w:hAnsi="Calibri Light"/>
          <w:color w:val="2F5496"/>
          <w:sz w:val="52"/>
          <w:szCs w:val="32"/>
          <w:lang w:val="nl-NL"/>
        </w:rPr>
        <w:t>d</w:t>
      </w:r>
      <w:r w:rsidRPr="006A47BA">
        <w:rPr>
          <w:rFonts w:ascii="Calibri Light" w:eastAsia="Times New Roman" w:hAnsi="Calibri Light"/>
          <w:color w:val="2F5496"/>
          <w:sz w:val="52"/>
          <w:szCs w:val="32"/>
          <w:lang w:val="nl-NL"/>
        </w:rPr>
        <w:t>igitale tests Boom testcentrum</w:t>
      </w:r>
    </w:p>
    <w:p w14:paraId="2FBAB717" w14:textId="77777777" w:rsidR="003C4D17" w:rsidRDefault="003C4D17" w:rsidP="003C4D17">
      <w:pPr>
        <w:keepNext/>
        <w:keepLines/>
        <w:spacing w:before="360" w:after="360"/>
        <w:ind w:left="-284"/>
        <w:outlineLvl w:val="1"/>
        <w:rPr>
          <w:lang w:val="nl-NL"/>
        </w:rPr>
      </w:pPr>
      <w:r>
        <w:rPr>
          <w:rFonts w:ascii="Calibri Light" w:eastAsia="Times New Roman" w:hAnsi="Calibri Light"/>
          <w:color w:val="2F5496"/>
          <w:sz w:val="26"/>
          <w:szCs w:val="26"/>
          <w:lang w:val="nl-NL"/>
        </w:rPr>
        <w:t>ISO/NEN certificering</w:t>
      </w:r>
    </w:p>
    <w:p w14:paraId="290EAE2C" w14:textId="77777777" w:rsidR="003C4D17" w:rsidRPr="00831100" w:rsidRDefault="003C4D17" w:rsidP="003C4D17">
      <w:pPr>
        <w:keepNext/>
        <w:keepLines/>
        <w:spacing w:before="360" w:after="360"/>
        <w:ind w:left="-284"/>
        <w:outlineLvl w:val="1"/>
        <w:rPr>
          <w:rFonts w:ascii="Calibri Light" w:eastAsia="Times New Roman" w:hAnsi="Calibri Light"/>
          <w:sz w:val="26"/>
          <w:szCs w:val="26"/>
          <w:lang w:val="nl-NL"/>
        </w:rPr>
      </w:pPr>
      <w:r w:rsidRPr="00831100">
        <w:rPr>
          <w:lang w:val="nl-NL"/>
        </w:rPr>
        <w:t>ISO/NEN normering Boom Uitgevers Amsterdam voldoet aan de voorwaarden gesteld in de ISO/ IEC 27001: 2013 en NEN-ENISO/IEC 27001:2017 normering. Dit is van toepassing op het management systeem van Boom Uitgevers Amsterdam BV en het toepassingsgebied ontwikkeling en beheer van de webapplicatie Boom Testcentrum, ondersteuning van gebruikers, verwerking van testresultaten en ter beschikking stellen van testresultaten aan gebruikers.</w:t>
      </w:r>
    </w:p>
    <w:p w14:paraId="333C8608" w14:textId="48FF93CA" w:rsidR="003C4D17" w:rsidRPr="00AB3230" w:rsidRDefault="003C4D17" w:rsidP="003C4D17">
      <w:pPr>
        <w:keepNext/>
        <w:keepLines/>
        <w:spacing w:before="360" w:after="360"/>
        <w:ind w:left="-284"/>
        <w:outlineLvl w:val="1"/>
        <w:rPr>
          <w:rFonts w:ascii="Calibri Light" w:eastAsia="Times New Roman" w:hAnsi="Calibri Light"/>
          <w:color w:val="2F5496"/>
          <w:sz w:val="26"/>
          <w:szCs w:val="26"/>
          <w:lang w:val="nl-NL"/>
        </w:rPr>
      </w:pPr>
      <w:r w:rsidRPr="00AB3230">
        <w:rPr>
          <w:rFonts w:ascii="Calibri Light" w:eastAsia="Times New Roman" w:hAnsi="Calibri Light"/>
          <w:color w:val="2F5496"/>
          <w:sz w:val="26"/>
          <w:szCs w:val="26"/>
          <w:lang w:val="nl-NL"/>
        </w:rPr>
        <w:t xml:space="preserve">Omschrijving van de maatregelen zoals bedoeld in artikel </w:t>
      </w:r>
      <w:r w:rsidR="008A74A2">
        <w:rPr>
          <w:rFonts w:ascii="Calibri Light" w:eastAsia="Times New Roman" w:hAnsi="Calibri Light"/>
          <w:color w:val="2F5496"/>
          <w:sz w:val="26"/>
          <w:szCs w:val="26"/>
          <w:lang w:val="nl-NL"/>
        </w:rPr>
        <w:t>7</w:t>
      </w:r>
      <w:r w:rsidRPr="00AB3230">
        <w:rPr>
          <w:rFonts w:ascii="Calibri Light" w:eastAsia="Times New Roman" w:hAnsi="Calibri Light"/>
          <w:color w:val="2F5496"/>
          <w:sz w:val="26"/>
          <w:szCs w:val="26"/>
          <w:lang w:val="nl-NL"/>
        </w:rPr>
        <w:t xml:space="preserve"> Verwerkersovereenkomst</w:t>
      </w:r>
    </w:p>
    <w:p w14:paraId="33EEB5A7" w14:textId="77777777" w:rsidR="003C4D17" w:rsidRPr="00AB3230" w:rsidRDefault="003C4D17" w:rsidP="003C4D17">
      <w:pPr>
        <w:keepNext/>
        <w:keepLines/>
        <w:numPr>
          <w:ilvl w:val="0"/>
          <w:numId w:val="19"/>
        </w:numPr>
        <w:spacing w:before="240" w:after="240"/>
        <w:outlineLvl w:val="2"/>
        <w:rPr>
          <w:rFonts w:ascii="Calibri Light" w:eastAsia="Times New Roman" w:hAnsi="Calibri Light"/>
          <w:color w:val="1F3763"/>
          <w:sz w:val="24"/>
          <w:szCs w:val="24"/>
          <w:lang w:val="nl-NL"/>
        </w:rPr>
      </w:pPr>
      <w:r w:rsidRPr="00AB3230">
        <w:rPr>
          <w:rFonts w:ascii="Calibri Light" w:eastAsia="Times New Roman" w:hAnsi="Calibri Light"/>
          <w:color w:val="1F3763"/>
          <w:sz w:val="24"/>
          <w:szCs w:val="24"/>
          <w:lang w:val="nl-NL"/>
        </w:rPr>
        <w:t>Omschrijving van de maatregelen om te waarborgen dat enkel bevoegd personeel toegang heeft tot de Verwerking van Persoonsgegevens.</w:t>
      </w:r>
    </w:p>
    <w:p w14:paraId="67BB8BDA" w14:textId="77777777" w:rsidR="003C4D17" w:rsidRPr="00AB3230" w:rsidRDefault="003C4D17" w:rsidP="003C4D17">
      <w:pPr>
        <w:rPr>
          <w:rFonts w:eastAsia="Calibri"/>
          <w:lang w:val="nl-NL"/>
        </w:rPr>
      </w:pPr>
      <w:r w:rsidRPr="00AB3230">
        <w:rPr>
          <w:rFonts w:eastAsia="Calibri"/>
          <w:lang w:val="nl-NL"/>
        </w:rPr>
        <w:t>Boom uitgevers Amsterdam hanteert een autorisatiebeleid om te bepalen wie toegang moet hebben tot welke gegevens. Medewerkers hebben op grond van deze systematiek geen toegang tot meer data dan strikt noodzakelijk is voor hun functie.</w:t>
      </w:r>
      <w:r w:rsidRPr="00AB3230">
        <w:rPr>
          <w:rFonts w:eastAsia="Calibri"/>
          <w:lang w:val="nl-NL"/>
        </w:rPr>
        <w:br/>
      </w:r>
    </w:p>
    <w:tbl>
      <w:tblPr>
        <w:tblStyle w:val="Tabelraster2"/>
        <w:tblW w:w="0" w:type="auto"/>
        <w:tblLook w:val="04A0" w:firstRow="1" w:lastRow="0" w:firstColumn="1" w:lastColumn="0" w:noHBand="0" w:noVBand="1"/>
      </w:tblPr>
      <w:tblGrid>
        <w:gridCol w:w="4530"/>
        <w:gridCol w:w="4530"/>
      </w:tblGrid>
      <w:tr w:rsidR="003C4D17" w:rsidRPr="00AB3230" w14:paraId="70046889" w14:textId="77777777" w:rsidTr="00F86BC8">
        <w:tc>
          <w:tcPr>
            <w:tcW w:w="4530" w:type="dxa"/>
            <w:shd w:val="clear" w:color="auto" w:fill="E7E6E6"/>
          </w:tcPr>
          <w:p w14:paraId="20F10F47" w14:textId="77777777" w:rsidR="003C4D17" w:rsidRPr="00AB3230" w:rsidRDefault="003C4D17" w:rsidP="00F86BC8">
            <w:pPr>
              <w:rPr>
                <w:lang w:val="nl-NL"/>
              </w:rPr>
            </w:pPr>
            <w:r w:rsidRPr="00AB3230">
              <w:rPr>
                <w:lang w:val="nl-NL"/>
              </w:rPr>
              <w:t>Medewerkers en gegevens:</w:t>
            </w:r>
          </w:p>
        </w:tc>
        <w:tc>
          <w:tcPr>
            <w:tcW w:w="4530" w:type="dxa"/>
            <w:shd w:val="clear" w:color="auto" w:fill="E7E6E6"/>
          </w:tcPr>
          <w:p w14:paraId="5AE3CB8B" w14:textId="77777777" w:rsidR="003C4D17" w:rsidRPr="00AB3230" w:rsidRDefault="003C4D17" w:rsidP="00F86BC8">
            <w:pPr>
              <w:rPr>
                <w:lang w:val="nl-NL"/>
              </w:rPr>
            </w:pPr>
            <w:r w:rsidRPr="00AB3230">
              <w:rPr>
                <w:lang w:val="nl-NL"/>
              </w:rPr>
              <w:t>Handelingen:</w:t>
            </w:r>
          </w:p>
        </w:tc>
      </w:tr>
      <w:tr w:rsidR="003C4D17" w:rsidRPr="008A74A2" w14:paraId="4E82411E" w14:textId="77777777" w:rsidTr="00F86BC8">
        <w:tc>
          <w:tcPr>
            <w:tcW w:w="4530" w:type="dxa"/>
          </w:tcPr>
          <w:p w14:paraId="742B5630" w14:textId="77777777" w:rsidR="003C4D17" w:rsidRPr="00AB3230" w:rsidRDefault="003C4D17" w:rsidP="00F86BC8">
            <w:pPr>
              <w:rPr>
                <w:lang w:val="nl-NL"/>
              </w:rPr>
            </w:pPr>
            <w:r w:rsidRPr="00AB3230">
              <w:rPr>
                <w:lang w:val="nl-NL"/>
              </w:rPr>
              <w:t xml:space="preserve">Analisten / deskundigen op het gebied van ontwikkeling van lesmateriaal hebben toegang tot geanonimiseerde sets van resultaten van gebruik van leermiddelen, eventuele problemen/fouten bij gebruik </w:t>
            </w:r>
          </w:p>
        </w:tc>
        <w:tc>
          <w:tcPr>
            <w:tcW w:w="4530" w:type="dxa"/>
          </w:tcPr>
          <w:p w14:paraId="3D966A8C" w14:textId="77777777" w:rsidR="003C4D17" w:rsidRPr="00AB3230" w:rsidRDefault="003C4D17" w:rsidP="00F86BC8">
            <w:pPr>
              <w:rPr>
                <w:lang w:val="nl-NL"/>
              </w:rPr>
            </w:pPr>
            <w:r w:rsidRPr="00AB3230">
              <w:rPr>
                <w:lang w:val="nl-NL"/>
              </w:rPr>
              <w:t>Analyse van het lesmateriaal, gericht op verbetering van het materiaal, ontwikkeling en optimalisatie van adaptief lesmateriaal, opsporing en verbetering van fouten in de werking van het digitale leermiddel.</w:t>
            </w:r>
          </w:p>
        </w:tc>
      </w:tr>
    </w:tbl>
    <w:p w14:paraId="760907F1" w14:textId="77777777" w:rsidR="003C4D17" w:rsidRPr="00AB3230" w:rsidRDefault="003C4D17" w:rsidP="003C4D17">
      <w:pPr>
        <w:keepNext/>
        <w:keepLines/>
        <w:numPr>
          <w:ilvl w:val="0"/>
          <w:numId w:val="19"/>
        </w:numPr>
        <w:spacing w:before="240" w:after="240"/>
        <w:outlineLvl w:val="2"/>
        <w:rPr>
          <w:rFonts w:ascii="Calibri Light" w:eastAsia="Times New Roman" w:hAnsi="Calibri Light"/>
          <w:color w:val="1F3763"/>
          <w:sz w:val="24"/>
          <w:szCs w:val="24"/>
          <w:lang w:val="nl-NL"/>
        </w:rPr>
      </w:pPr>
      <w:r w:rsidRPr="00AB3230">
        <w:rPr>
          <w:rFonts w:ascii="Calibri Light" w:eastAsia="Times New Roman" w:hAnsi="Calibri Light"/>
          <w:color w:val="1F3763"/>
          <w:sz w:val="24"/>
          <w:szCs w:val="24"/>
          <w:lang w:val="nl-NL"/>
        </w:rPr>
        <w:t>Omschrijving van de maatregelen om de Persoonsgegevens te beschermen tegen onopzettelijke of onrechtmatige vernietiging, onopzettelijk verlies of wijziging, onbevoegde of onrechtmatige opslag, Verwerking, toegang of openbaarmaking.</w:t>
      </w:r>
    </w:p>
    <w:p w14:paraId="5382A5E8" w14:textId="77777777" w:rsidR="003C4D17" w:rsidRPr="00AB3230" w:rsidRDefault="003C4D17" w:rsidP="003C4D17">
      <w:pPr>
        <w:rPr>
          <w:rFonts w:eastAsia="Calibri"/>
          <w:b/>
          <w:lang w:val="nl-NL"/>
        </w:rPr>
      </w:pPr>
      <w:r w:rsidRPr="00AB3230">
        <w:rPr>
          <w:rFonts w:eastAsia="Calibri"/>
          <w:b/>
          <w:lang w:val="nl-NL"/>
        </w:rPr>
        <w:t>Organisatie van informatiebeveiliging en communicatieprocessen</w:t>
      </w:r>
    </w:p>
    <w:p w14:paraId="56238AC6" w14:textId="77777777" w:rsidR="003C4D17" w:rsidRPr="00AB3230" w:rsidRDefault="003C4D17" w:rsidP="003C4D17">
      <w:pPr>
        <w:numPr>
          <w:ilvl w:val="0"/>
          <w:numId w:val="7"/>
        </w:numPr>
        <w:spacing w:before="0" w:after="120" w:line="240" w:lineRule="auto"/>
        <w:rPr>
          <w:rFonts w:eastAsia="MS Mincho"/>
          <w:szCs w:val="24"/>
          <w:lang w:val="nl-NL" w:eastAsia="ja-JP"/>
        </w:rPr>
      </w:pPr>
      <w:r w:rsidRPr="00AB3230">
        <w:rPr>
          <w:rFonts w:eastAsia="MS Mincho"/>
          <w:szCs w:val="24"/>
          <w:lang w:val="nl-NL" w:eastAsia="ja-JP"/>
        </w:rPr>
        <w:t>Boom uitgevers Amsterdam beschikt over een actief informatiebeveiligingsbeleid.</w:t>
      </w:r>
    </w:p>
    <w:p w14:paraId="2C8FB170" w14:textId="77777777" w:rsidR="003C4D17" w:rsidRPr="00AB3230" w:rsidRDefault="003C4D17" w:rsidP="003C4D17">
      <w:pPr>
        <w:numPr>
          <w:ilvl w:val="0"/>
          <w:numId w:val="7"/>
        </w:numPr>
        <w:spacing w:before="0" w:after="120" w:line="240" w:lineRule="auto"/>
        <w:rPr>
          <w:rFonts w:eastAsia="MS Mincho"/>
          <w:szCs w:val="24"/>
          <w:lang w:val="nl-NL" w:eastAsia="ja-JP"/>
        </w:rPr>
      </w:pPr>
      <w:r w:rsidRPr="00AB3230">
        <w:rPr>
          <w:rFonts w:eastAsia="MS Mincho"/>
          <w:szCs w:val="24"/>
          <w:lang w:val="nl-NL" w:eastAsia="ja-JP"/>
        </w:rPr>
        <w:t>Boom uitgevers Amsterdam heeft een coördinator voor informatiebeveiliging om risico’s omtrent de verwerking van persoonsgegevens te inventariseren, beveiligingsbewustzijn te stimuleren, voorzieningen te controleren en maatregelen te treffen die zien op naleving van het informatiebeveiligingsbeleid.</w:t>
      </w:r>
    </w:p>
    <w:p w14:paraId="1F96D18F" w14:textId="77777777" w:rsidR="003C4D17" w:rsidRPr="00AB3230" w:rsidRDefault="003C4D17" w:rsidP="003C4D17">
      <w:pPr>
        <w:numPr>
          <w:ilvl w:val="0"/>
          <w:numId w:val="7"/>
        </w:numPr>
        <w:spacing w:before="0" w:after="120" w:line="240" w:lineRule="auto"/>
        <w:rPr>
          <w:rFonts w:eastAsia="MS Mincho"/>
          <w:szCs w:val="24"/>
          <w:lang w:val="nl-NL" w:eastAsia="ja-JP"/>
        </w:rPr>
      </w:pPr>
      <w:r w:rsidRPr="00AB3230">
        <w:rPr>
          <w:rFonts w:eastAsia="MS Mincho"/>
          <w:szCs w:val="24"/>
          <w:lang w:val="nl-NL" w:eastAsia="ja-JP"/>
        </w:rPr>
        <w:t xml:space="preserve">Informatiebeveiligingsincidenten worden gedocumenteerd en worden benut voor optimalisatie van het informatiebeveiligingsbeleid. </w:t>
      </w:r>
    </w:p>
    <w:p w14:paraId="77F21371" w14:textId="77777777" w:rsidR="003C4D17" w:rsidRPr="00AB3230" w:rsidRDefault="003C4D17" w:rsidP="003C4D17">
      <w:pPr>
        <w:numPr>
          <w:ilvl w:val="0"/>
          <w:numId w:val="7"/>
        </w:numPr>
        <w:spacing w:before="0" w:after="120" w:line="240" w:lineRule="auto"/>
        <w:rPr>
          <w:rFonts w:eastAsia="MS Mincho"/>
          <w:szCs w:val="24"/>
          <w:lang w:val="nl-NL" w:eastAsia="ja-JP"/>
        </w:rPr>
      </w:pPr>
      <w:r w:rsidRPr="00AB3230">
        <w:rPr>
          <w:rFonts w:eastAsia="MS Mincho"/>
          <w:szCs w:val="24"/>
          <w:lang w:val="nl-NL" w:eastAsia="ja-JP"/>
        </w:rPr>
        <w:t>Boom uitgevers Amsterdam heeft een proces ingericht voor communicatie over informatiebeveiligingsincidenten.</w:t>
      </w:r>
    </w:p>
    <w:p w14:paraId="756F7569" w14:textId="77777777" w:rsidR="003C4D17" w:rsidRDefault="003C4D17">
      <w:pPr>
        <w:spacing w:before="0" w:after="160" w:line="259" w:lineRule="auto"/>
        <w:rPr>
          <w:rFonts w:eastAsia="Calibri"/>
          <w:b/>
          <w:lang w:val="nl-NL"/>
        </w:rPr>
      </w:pPr>
      <w:r>
        <w:rPr>
          <w:rFonts w:eastAsia="Calibri"/>
          <w:b/>
          <w:lang w:val="nl-NL"/>
        </w:rPr>
        <w:br w:type="page"/>
      </w:r>
    </w:p>
    <w:p w14:paraId="1CE0D49B" w14:textId="699432D8" w:rsidR="003C4D17" w:rsidRPr="00AB3230" w:rsidRDefault="003C4D17" w:rsidP="003C4D17">
      <w:pPr>
        <w:rPr>
          <w:rFonts w:eastAsia="Calibri"/>
          <w:b/>
          <w:lang w:val="nl-NL"/>
        </w:rPr>
      </w:pPr>
      <w:r w:rsidRPr="00AB3230">
        <w:rPr>
          <w:rFonts w:eastAsia="Calibri"/>
          <w:b/>
          <w:lang w:val="nl-NL"/>
        </w:rPr>
        <w:t>Medewerkers</w:t>
      </w:r>
    </w:p>
    <w:p w14:paraId="78491034" w14:textId="77777777" w:rsidR="003C4D17" w:rsidRPr="00AB3230" w:rsidRDefault="003C4D17" w:rsidP="003C4D17">
      <w:pPr>
        <w:numPr>
          <w:ilvl w:val="0"/>
          <w:numId w:val="8"/>
        </w:numPr>
        <w:spacing w:before="0" w:after="120" w:line="240" w:lineRule="auto"/>
        <w:rPr>
          <w:rFonts w:eastAsia="MS Mincho"/>
          <w:szCs w:val="24"/>
          <w:lang w:val="nl-NL" w:eastAsia="ja-JP"/>
        </w:rPr>
      </w:pPr>
      <w:r w:rsidRPr="00AB3230">
        <w:rPr>
          <w:rFonts w:eastAsia="MS Mincho"/>
          <w:szCs w:val="24"/>
          <w:lang w:val="nl-NL" w:eastAsia="ja-JP"/>
        </w:rPr>
        <w:t>Met medewerkers worden geheimhoudingsverklaringen overeengekomen en informatiebeveiligingsafspraken gemaakt.</w:t>
      </w:r>
    </w:p>
    <w:p w14:paraId="25FF8930" w14:textId="77777777" w:rsidR="003C4D17" w:rsidRPr="00AB3230" w:rsidRDefault="003C4D17" w:rsidP="003C4D17">
      <w:pPr>
        <w:numPr>
          <w:ilvl w:val="0"/>
          <w:numId w:val="8"/>
        </w:numPr>
        <w:spacing w:before="0" w:after="120" w:line="240" w:lineRule="auto"/>
        <w:rPr>
          <w:rFonts w:eastAsia="MS Mincho"/>
          <w:szCs w:val="24"/>
          <w:lang w:val="nl-NL" w:eastAsia="ja-JP"/>
        </w:rPr>
      </w:pPr>
      <w:r w:rsidRPr="00AB3230">
        <w:rPr>
          <w:rFonts w:eastAsia="MS Mincho"/>
          <w:szCs w:val="24"/>
          <w:lang w:val="nl-NL" w:eastAsia="ja-JP"/>
        </w:rPr>
        <w:t>Boom uitgevers Amsterdam stimuleert bewustzijn, opleiding en training ten aanzien van informatiebeveiliging.</w:t>
      </w:r>
    </w:p>
    <w:p w14:paraId="573EB84C" w14:textId="77777777" w:rsidR="003C4D17" w:rsidRPr="00AB3230" w:rsidRDefault="003C4D17" w:rsidP="003C4D17">
      <w:pPr>
        <w:numPr>
          <w:ilvl w:val="0"/>
          <w:numId w:val="8"/>
        </w:numPr>
        <w:spacing w:before="0" w:after="120" w:line="240" w:lineRule="auto"/>
        <w:rPr>
          <w:rFonts w:eastAsia="MS Mincho"/>
          <w:szCs w:val="24"/>
          <w:lang w:val="nl-NL" w:eastAsia="ja-JP"/>
        </w:rPr>
      </w:pPr>
      <w:r w:rsidRPr="00AB3230">
        <w:rPr>
          <w:rFonts w:eastAsia="MS Mincho"/>
          <w:szCs w:val="24"/>
          <w:lang w:val="nl-NL" w:eastAsia="ja-JP"/>
        </w:rPr>
        <w:t>Medewerkers hebben op grond van een autorisatiesystematiek geen toegang tot meer data dan strikt noodzakelijk is voor hun functie.</w:t>
      </w:r>
    </w:p>
    <w:p w14:paraId="1C312EDA" w14:textId="77777777" w:rsidR="003C4D17" w:rsidRPr="00AB3230" w:rsidRDefault="003C4D17" w:rsidP="003C4D17">
      <w:pPr>
        <w:rPr>
          <w:rFonts w:eastAsia="Calibri"/>
          <w:b/>
          <w:lang w:val="nl-NL"/>
        </w:rPr>
      </w:pPr>
      <w:r w:rsidRPr="00AB3230">
        <w:rPr>
          <w:rFonts w:eastAsia="Calibri"/>
          <w:b/>
          <w:lang w:val="nl-NL"/>
        </w:rPr>
        <w:t>Beveiliging en continuïteit van de middelen, het netwerk, de server en de applicatie</w:t>
      </w:r>
    </w:p>
    <w:p w14:paraId="25DF229C" w14:textId="77777777" w:rsidR="003C4D17" w:rsidRPr="00AB3230" w:rsidRDefault="003C4D17" w:rsidP="003C4D17">
      <w:pPr>
        <w:spacing w:beforeLines="40" w:before="96" w:afterLines="20" w:after="48"/>
        <w:contextualSpacing/>
        <w:rPr>
          <w:rFonts w:eastAsia="Calibri"/>
          <w:lang w:val="nl-NL"/>
        </w:rPr>
      </w:pPr>
      <w:r w:rsidRPr="00AB3230">
        <w:rPr>
          <w:rFonts w:eastAsia="Calibri"/>
          <w:lang w:val="nl-NL"/>
        </w:rPr>
        <w:t xml:space="preserve">Boom uitgevers Amsterdam heeft het Certificeringsschema (zie </w:t>
      </w:r>
      <w:hyperlink r:id="rId18" w:history="1">
        <w:r w:rsidRPr="00AB3230">
          <w:rPr>
            <w:rFonts w:eastAsia="Calibri"/>
            <w:lang w:val="nl-NL"/>
          </w:rPr>
          <w:t>https://www.edustandaard.nl/standaard_afspraken/certificeringsschema-informatiebeveiliging-en-privacy-rosa/certificeringsschema-informatiebeveiliging-en-privacy-rosa/</w:t>
        </w:r>
      </w:hyperlink>
      <w:r w:rsidRPr="00AB3230">
        <w:rPr>
          <w:rFonts w:eastAsia="Calibri"/>
          <w:lang w:val="nl-NL"/>
        </w:rPr>
        <w:t>)</w:t>
      </w:r>
    </w:p>
    <w:p w14:paraId="7C3F8419" w14:textId="77777777" w:rsidR="003C4D17" w:rsidRPr="00AB3230" w:rsidRDefault="003C4D17" w:rsidP="003C4D17">
      <w:pPr>
        <w:rPr>
          <w:rFonts w:eastAsia="Calibri"/>
          <w:lang w:val="nl-NL"/>
        </w:rPr>
      </w:pPr>
      <w:r w:rsidRPr="00AB3230">
        <w:rPr>
          <w:rFonts w:eastAsia="Calibri"/>
          <w:lang w:val="nl-NL"/>
        </w:rPr>
        <w:t>gebruikt als toetsingskader en voor het creëren van een solide basisniveau van informatiebeveiliging en privacy voor digitale leermiddelen. Hieronder staat de rapportage van de BIV-classificatie, de mate van compliance en de uitleg bij eventuele afwijkingen van de standaarden.</w:t>
      </w:r>
    </w:p>
    <w:tbl>
      <w:tblPr>
        <w:tblStyle w:val="Tabelraster2"/>
        <w:tblW w:w="8490" w:type="dxa"/>
        <w:tblLayout w:type="fixed"/>
        <w:tblLook w:val="04A0" w:firstRow="1" w:lastRow="0" w:firstColumn="1" w:lastColumn="0" w:noHBand="0" w:noVBand="1"/>
      </w:tblPr>
      <w:tblGrid>
        <w:gridCol w:w="1943"/>
        <w:gridCol w:w="2646"/>
        <w:gridCol w:w="1559"/>
        <w:gridCol w:w="2319"/>
        <w:gridCol w:w="23"/>
      </w:tblGrid>
      <w:tr w:rsidR="003C4D17" w:rsidRPr="00AB3230" w14:paraId="2924BDA0" w14:textId="77777777" w:rsidTr="00F86BC8">
        <w:tc>
          <w:tcPr>
            <w:tcW w:w="1943" w:type="dxa"/>
            <w:shd w:val="clear" w:color="auto" w:fill="ACB9CA"/>
          </w:tcPr>
          <w:p w14:paraId="2BBBB396" w14:textId="77777777" w:rsidR="003C4D17" w:rsidRPr="00AB3230" w:rsidRDefault="003C4D17" w:rsidP="00F86BC8">
            <w:pPr>
              <w:rPr>
                <w:rFonts w:cs="Calibri"/>
                <w:b/>
                <w:lang w:val="nl-NL"/>
              </w:rPr>
            </w:pPr>
            <w:r w:rsidRPr="00AB3230">
              <w:rPr>
                <w:rFonts w:cs="Calibri"/>
                <w:b/>
                <w:lang w:val="nl-NL"/>
              </w:rPr>
              <w:t>Toetsvorm</w:t>
            </w:r>
          </w:p>
        </w:tc>
        <w:tc>
          <w:tcPr>
            <w:tcW w:w="6547" w:type="dxa"/>
            <w:gridSpan w:val="4"/>
          </w:tcPr>
          <w:p w14:paraId="5AE548BF" w14:textId="77777777" w:rsidR="003C4D17" w:rsidRPr="00AB3230" w:rsidRDefault="003C4D17" w:rsidP="00F86BC8">
            <w:pPr>
              <w:rPr>
                <w:rFonts w:cs="Calibri"/>
              </w:rPr>
            </w:pPr>
            <w:r w:rsidRPr="00AB3230">
              <w:rPr>
                <w:rFonts w:cs="Calibri"/>
              </w:rPr>
              <w:t>Self-assessment</w:t>
            </w:r>
          </w:p>
        </w:tc>
      </w:tr>
      <w:tr w:rsidR="003C4D17" w:rsidRPr="008A74A2" w14:paraId="3EA26E95" w14:textId="77777777" w:rsidTr="00F86BC8">
        <w:tc>
          <w:tcPr>
            <w:tcW w:w="1943" w:type="dxa"/>
            <w:shd w:val="clear" w:color="auto" w:fill="ACB9CA"/>
          </w:tcPr>
          <w:p w14:paraId="018B6EBB" w14:textId="77777777" w:rsidR="003C4D17" w:rsidRPr="00AB3230" w:rsidRDefault="003C4D17" w:rsidP="00F86BC8">
            <w:pPr>
              <w:rPr>
                <w:rFonts w:cs="Calibri"/>
                <w:b/>
                <w:lang w:val="nl-NL"/>
              </w:rPr>
            </w:pPr>
            <w:r w:rsidRPr="00AB3230">
              <w:rPr>
                <w:rFonts w:cs="Calibri"/>
                <w:b/>
                <w:lang w:val="nl-NL"/>
              </w:rPr>
              <w:t>Uitvoerder toets</w:t>
            </w:r>
          </w:p>
        </w:tc>
        <w:tc>
          <w:tcPr>
            <w:tcW w:w="6547" w:type="dxa"/>
            <w:gridSpan w:val="4"/>
          </w:tcPr>
          <w:p w14:paraId="5D23B9F9" w14:textId="77777777" w:rsidR="003C4D17" w:rsidRPr="00AB3230" w:rsidRDefault="003C4D17" w:rsidP="00F86BC8">
            <w:pPr>
              <w:rPr>
                <w:rFonts w:cs="Calibri"/>
                <w:lang w:val="nl-NL"/>
              </w:rPr>
            </w:pPr>
            <w:r w:rsidRPr="00AB3230">
              <w:rPr>
                <w:rFonts w:cs="Calibri"/>
                <w:lang w:val="nl-NL"/>
              </w:rPr>
              <w:t>Boom uitgevers Amsterdam, Michie</w:t>
            </w:r>
            <w:r>
              <w:rPr>
                <w:rFonts w:cs="Calibri"/>
                <w:lang w:val="nl-NL"/>
              </w:rPr>
              <w:t>l</w:t>
            </w:r>
            <w:r w:rsidRPr="00AB3230">
              <w:rPr>
                <w:rFonts w:cs="Calibri"/>
                <w:lang w:val="nl-NL"/>
              </w:rPr>
              <w:t xml:space="preserve"> de Jong, projectmanager/informatiemanager</w:t>
            </w:r>
          </w:p>
        </w:tc>
      </w:tr>
      <w:tr w:rsidR="003C4D17" w:rsidRPr="00AB3230" w14:paraId="0E55AAE0" w14:textId="77777777" w:rsidTr="00F86BC8">
        <w:tc>
          <w:tcPr>
            <w:tcW w:w="1943" w:type="dxa"/>
            <w:shd w:val="clear" w:color="auto" w:fill="ACB9CA"/>
          </w:tcPr>
          <w:p w14:paraId="7879295C" w14:textId="77777777" w:rsidR="003C4D17" w:rsidRPr="00AB3230" w:rsidRDefault="003C4D17" w:rsidP="00F86BC8">
            <w:pPr>
              <w:rPr>
                <w:rFonts w:cs="Calibri"/>
                <w:b/>
                <w:lang w:val="nl-NL"/>
              </w:rPr>
            </w:pPr>
            <w:r w:rsidRPr="00AB3230">
              <w:rPr>
                <w:rFonts w:cs="Calibri"/>
                <w:b/>
                <w:lang w:val="nl-NL"/>
              </w:rPr>
              <w:t>BIV-classificatie</w:t>
            </w:r>
          </w:p>
        </w:tc>
        <w:tc>
          <w:tcPr>
            <w:tcW w:w="6547" w:type="dxa"/>
            <w:gridSpan w:val="4"/>
          </w:tcPr>
          <w:p w14:paraId="5B34A974" w14:textId="77777777" w:rsidR="003C4D17" w:rsidRPr="00AB3230" w:rsidRDefault="003C4D17" w:rsidP="00F86BC8">
            <w:pPr>
              <w:rPr>
                <w:rFonts w:cs="Calibri"/>
                <w:lang w:val="nl-NL"/>
              </w:rPr>
            </w:pPr>
            <w:bookmarkStart w:id="5" w:name="_Hlk510778009"/>
            <w:r w:rsidRPr="00AB3230">
              <w:rPr>
                <w:rFonts w:cs="Calibri"/>
                <w:lang w:val="nl-NL"/>
              </w:rPr>
              <w:t>Beschikbaarheid=2, Integriteit=2, Vertrouwelijkheid=3</w:t>
            </w:r>
            <w:bookmarkEnd w:id="5"/>
          </w:p>
        </w:tc>
      </w:tr>
      <w:tr w:rsidR="003C4D17" w:rsidRPr="00AB3230" w14:paraId="7F2ED106" w14:textId="77777777" w:rsidTr="00F86BC8">
        <w:trPr>
          <w:gridAfter w:val="1"/>
          <w:wAfter w:w="23" w:type="dxa"/>
        </w:trPr>
        <w:tc>
          <w:tcPr>
            <w:tcW w:w="1943" w:type="dxa"/>
            <w:shd w:val="clear" w:color="auto" w:fill="ACB9CA"/>
          </w:tcPr>
          <w:p w14:paraId="0788FDCA" w14:textId="77777777" w:rsidR="003C4D17" w:rsidRPr="00AB3230" w:rsidRDefault="003C4D17" w:rsidP="00F86BC8">
            <w:pPr>
              <w:rPr>
                <w:rFonts w:cs="Calibri"/>
                <w:b/>
                <w:lang w:val="nl-NL"/>
              </w:rPr>
            </w:pPr>
            <w:r w:rsidRPr="00AB3230">
              <w:rPr>
                <w:rFonts w:cs="Calibri"/>
                <w:b/>
                <w:lang w:val="nl-NL"/>
              </w:rPr>
              <w:t>Categorie</w:t>
            </w:r>
          </w:p>
        </w:tc>
        <w:tc>
          <w:tcPr>
            <w:tcW w:w="2646" w:type="dxa"/>
            <w:shd w:val="clear" w:color="auto" w:fill="ACB9CA"/>
          </w:tcPr>
          <w:p w14:paraId="2D7CDA84" w14:textId="77777777" w:rsidR="003C4D17" w:rsidRPr="00AB3230" w:rsidRDefault="003C4D17" w:rsidP="00F86BC8">
            <w:pPr>
              <w:rPr>
                <w:rFonts w:cs="Calibri"/>
                <w:b/>
                <w:lang w:val="nl-NL"/>
              </w:rPr>
            </w:pPr>
            <w:r w:rsidRPr="00AB3230">
              <w:rPr>
                <w:rFonts w:cs="Calibri"/>
                <w:b/>
                <w:lang w:val="nl-NL"/>
              </w:rPr>
              <w:t>Maatregelen</w:t>
            </w:r>
          </w:p>
        </w:tc>
        <w:tc>
          <w:tcPr>
            <w:tcW w:w="1559" w:type="dxa"/>
            <w:shd w:val="clear" w:color="auto" w:fill="ACB9CA"/>
          </w:tcPr>
          <w:p w14:paraId="29D7D345" w14:textId="77777777" w:rsidR="003C4D17" w:rsidRPr="00AB3230" w:rsidRDefault="003C4D17" w:rsidP="00F86BC8">
            <w:pPr>
              <w:rPr>
                <w:rFonts w:cs="Calibri"/>
                <w:b/>
                <w:lang w:val="nl-NL"/>
              </w:rPr>
            </w:pPr>
            <w:r w:rsidRPr="00AB3230">
              <w:rPr>
                <w:rFonts w:cs="Calibri"/>
                <w:b/>
                <w:lang w:val="nl-NL"/>
              </w:rPr>
              <w:t>Compliance</w:t>
            </w:r>
          </w:p>
        </w:tc>
        <w:tc>
          <w:tcPr>
            <w:tcW w:w="2319" w:type="dxa"/>
            <w:shd w:val="clear" w:color="auto" w:fill="ACB9CA"/>
          </w:tcPr>
          <w:p w14:paraId="57D0C552" w14:textId="77777777" w:rsidR="003C4D17" w:rsidRPr="00AB3230" w:rsidRDefault="003C4D17" w:rsidP="00F86BC8">
            <w:pPr>
              <w:rPr>
                <w:rFonts w:cs="Calibri"/>
                <w:b/>
                <w:lang w:val="nl-NL"/>
              </w:rPr>
            </w:pPr>
            <w:r w:rsidRPr="00AB3230">
              <w:rPr>
                <w:rFonts w:cs="Calibri"/>
                <w:b/>
                <w:lang w:val="nl-NL"/>
              </w:rPr>
              <w:t>Uitleg</w:t>
            </w:r>
          </w:p>
        </w:tc>
      </w:tr>
      <w:tr w:rsidR="003C4D17" w:rsidRPr="008A74A2" w14:paraId="6C23CE06" w14:textId="77777777" w:rsidTr="00F86BC8">
        <w:trPr>
          <w:gridAfter w:val="1"/>
          <w:wAfter w:w="23" w:type="dxa"/>
        </w:trPr>
        <w:tc>
          <w:tcPr>
            <w:tcW w:w="1943" w:type="dxa"/>
          </w:tcPr>
          <w:p w14:paraId="4215C525" w14:textId="77777777" w:rsidR="003C4D17" w:rsidRPr="00AB3230" w:rsidRDefault="003C4D17" w:rsidP="00F86BC8">
            <w:pPr>
              <w:rPr>
                <w:rFonts w:cs="Calibri"/>
                <w:b/>
                <w:lang w:val="nl-NL"/>
              </w:rPr>
            </w:pPr>
          </w:p>
        </w:tc>
        <w:tc>
          <w:tcPr>
            <w:tcW w:w="2646" w:type="dxa"/>
          </w:tcPr>
          <w:p w14:paraId="583900EB" w14:textId="77777777" w:rsidR="003C4D17" w:rsidRPr="00AB3230" w:rsidRDefault="003C4D17" w:rsidP="00F86BC8">
            <w:pPr>
              <w:rPr>
                <w:rFonts w:cs="Calibri"/>
                <w:lang w:val="nl-NL"/>
              </w:rPr>
            </w:pPr>
          </w:p>
        </w:tc>
        <w:tc>
          <w:tcPr>
            <w:tcW w:w="1559" w:type="dxa"/>
          </w:tcPr>
          <w:p w14:paraId="1DE52777" w14:textId="77777777" w:rsidR="003C4D17" w:rsidRPr="00AB3230" w:rsidRDefault="003C4D17" w:rsidP="00F86BC8">
            <w:pPr>
              <w:rPr>
                <w:rFonts w:cs="Calibri"/>
                <w:lang w:val="nl-NL"/>
              </w:rPr>
            </w:pPr>
            <w:r w:rsidRPr="00AB3230">
              <w:rPr>
                <w:rFonts w:cs="Calibri"/>
                <w:lang w:val="nl-NL"/>
              </w:rPr>
              <w:t>[Voldaan/</w:t>
            </w:r>
          </w:p>
          <w:p w14:paraId="7B27CFE0" w14:textId="77777777" w:rsidR="003C4D17" w:rsidRPr="00AB3230" w:rsidRDefault="003C4D17" w:rsidP="00F86BC8">
            <w:pPr>
              <w:rPr>
                <w:rFonts w:cs="Calibri"/>
                <w:lang w:val="nl-NL"/>
              </w:rPr>
            </w:pPr>
            <w:r w:rsidRPr="00AB3230">
              <w:rPr>
                <w:rFonts w:cs="Calibri"/>
                <w:lang w:val="nl-NL"/>
              </w:rPr>
              <w:t>niet voldaan/ alternatieve maatregel]</w:t>
            </w:r>
          </w:p>
        </w:tc>
        <w:tc>
          <w:tcPr>
            <w:tcW w:w="2319" w:type="dxa"/>
          </w:tcPr>
          <w:p w14:paraId="415EC7CD" w14:textId="77777777" w:rsidR="003C4D17" w:rsidRPr="00AB3230" w:rsidRDefault="003C4D17" w:rsidP="00F86BC8">
            <w:pPr>
              <w:rPr>
                <w:rFonts w:cs="Calibri"/>
                <w:lang w:val="nl-NL"/>
              </w:rPr>
            </w:pPr>
            <w:r w:rsidRPr="00AB3230">
              <w:rPr>
                <w:rFonts w:cs="Calibri"/>
                <w:lang w:val="nl-NL"/>
              </w:rPr>
              <w:t>[Bij niet voldaan aangeven hoe/wanneer dit wordt gecorrigeerd. Bij alternatieve maatregel deze beschrijven]</w:t>
            </w:r>
          </w:p>
        </w:tc>
      </w:tr>
      <w:tr w:rsidR="003C4D17" w:rsidRPr="00AB3230" w14:paraId="6291E7A2" w14:textId="77777777" w:rsidTr="00F86BC8">
        <w:trPr>
          <w:gridAfter w:val="1"/>
          <w:wAfter w:w="23" w:type="dxa"/>
        </w:trPr>
        <w:tc>
          <w:tcPr>
            <w:tcW w:w="1943" w:type="dxa"/>
          </w:tcPr>
          <w:p w14:paraId="34A3B21E" w14:textId="77777777" w:rsidR="003C4D17" w:rsidRPr="00AB3230" w:rsidRDefault="003C4D17" w:rsidP="00F86BC8">
            <w:pPr>
              <w:rPr>
                <w:rFonts w:cs="Calibri"/>
                <w:b/>
                <w:lang w:val="nl-NL"/>
              </w:rPr>
            </w:pPr>
            <w:r w:rsidRPr="00AB3230">
              <w:rPr>
                <w:rFonts w:cs="Calibri"/>
                <w:b/>
                <w:lang w:val="nl-NL"/>
              </w:rPr>
              <w:t>Beschikbaarheid</w:t>
            </w:r>
          </w:p>
        </w:tc>
        <w:tc>
          <w:tcPr>
            <w:tcW w:w="2646" w:type="dxa"/>
          </w:tcPr>
          <w:p w14:paraId="06F4FF25" w14:textId="77777777" w:rsidR="003C4D17" w:rsidRPr="00AB3230" w:rsidRDefault="003C4D17" w:rsidP="00F86BC8">
            <w:pPr>
              <w:rPr>
                <w:rFonts w:cs="Calibri"/>
                <w:lang w:val="nl-NL"/>
              </w:rPr>
            </w:pPr>
            <w:r w:rsidRPr="00AB3230">
              <w:rPr>
                <w:rFonts w:cs="Calibri"/>
                <w:lang w:val="nl-NL"/>
              </w:rPr>
              <w:t>Overbelasting</w:t>
            </w:r>
          </w:p>
        </w:tc>
        <w:tc>
          <w:tcPr>
            <w:tcW w:w="1559" w:type="dxa"/>
          </w:tcPr>
          <w:p w14:paraId="7FECE489" w14:textId="77777777" w:rsidR="003C4D17" w:rsidRPr="00AB3230" w:rsidRDefault="003C4D17" w:rsidP="00F86BC8">
            <w:pPr>
              <w:rPr>
                <w:rFonts w:cs="Calibri"/>
                <w:lang w:val="nl-NL"/>
              </w:rPr>
            </w:pPr>
            <w:r w:rsidRPr="00AB3230">
              <w:rPr>
                <w:rFonts w:cs="Calibri"/>
                <w:lang w:val="nl-NL"/>
              </w:rPr>
              <w:t>Voldaan</w:t>
            </w:r>
          </w:p>
        </w:tc>
        <w:tc>
          <w:tcPr>
            <w:tcW w:w="2319" w:type="dxa"/>
          </w:tcPr>
          <w:p w14:paraId="3E086184" w14:textId="77777777" w:rsidR="003C4D17" w:rsidRPr="00AB3230" w:rsidRDefault="003C4D17" w:rsidP="00F86BC8">
            <w:pPr>
              <w:rPr>
                <w:rFonts w:cs="Calibri"/>
                <w:lang w:val="nl-NL"/>
              </w:rPr>
            </w:pPr>
          </w:p>
        </w:tc>
      </w:tr>
      <w:tr w:rsidR="003C4D17" w:rsidRPr="008A74A2" w14:paraId="1626E1A4" w14:textId="77777777" w:rsidTr="00F86BC8">
        <w:trPr>
          <w:gridAfter w:val="1"/>
          <w:wAfter w:w="23" w:type="dxa"/>
        </w:trPr>
        <w:tc>
          <w:tcPr>
            <w:tcW w:w="1943" w:type="dxa"/>
          </w:tcPr>
          <w:p w14:paraId="12701429" w14:textId="77777777" w:rsidR="003C4D17" w:rsidRPr="00AB3230" w:rsidRDefault="003C4D17" w:rsidP="00F86BC8">
            <w:pPr>
              <w:rPr>
                <w:rFonts w:cs="Calibri"/>
                <w:b/>
                <w:lang w:val="nl-NL"/>
              </w:rPr>
            </w:pPr>
          </w:p>
        </w:tc>
        <w:tc>
          <w:tcPr>
            <w:tcW w:w="2646" w:type="dxa"/>
          </w:tcPr>
          <w:p w14:paraId="70C2285B" w14:textId="77777777" w:rsidR="003C4D17" w:rsidRPr="00AB3230" w:rsidRDefault="003C4D17" w:rsidP="00F86BC8">
            <w:pPr>
              <w:rPr>
                <w:rFonts w:cs="Calibri"/>
                <w:lang w:val="nl-NL"/>
              </w:rPr>
            </w:pPr>
            <w:r w:rsidRPr="00AB3230">
              <w:rPr>
                <w:rFonts w:cs="Calibri"/>
                <w:lang w:val="nl-NL"/>
              </w:rPr>
              <w:t>Business continuity</w:t>
            </w:r>
          </w:p>
        </w:tc>
        <w:tc>
          <w:tcPr>
            <w:tcW w:w="1559" w:type="dxa"/>
          </w:tcPr>
          <w:p w14:paraId="6393257D" w14:textId="77777777" w:rsidR="003C4D17" w:rsidRPr="00AB3230" w:rsidRDefault="003C4D17" w:rsidP="00F86BC8">
            <w:pPr>
              <w:rPr>
                <w:rFonts w:cs="Calibri"/>
                <w:lang w:val="nl-NL"/>
              </w:rPr>
            </w:pPr>
            <w:r w:rsidRPr="00AB3230">
              <w:rPr>
                <w:rFonts w:cs="Calibri"/>
                <w:lang w:val="nl-NL"/>
              </w:rPr>
              <w:t>Alternatieve maatregel</w:t>
            </w:r>
          </w:p>
        </w:tc>
        <w:tc>
          <w:tcPr>
            <w:tcW w:w="2319" w:type="dxa"/>
          </w:tcPr>
          <w:p w14:paraId="1F12251F" w14:textId="77777777" w:rsidR="003C4D17" w:rsidRPr="00AB3230" w:rsidRDefault="003C4D17" w:rsidP="00F86BC8">
            <w:pPr>
              <w:rPr>
                <w:rFonts w:cs="Calibri"/>
                <w:lang w:val="nl-NL"/>
              </w:rPr>
            </w:pPr>
            <w:r w:rsidRPr="00AB3230">
              <w:rPr>
                <w:rFonts w:cs="Calibri"/>
                <w:lang w:val="nl-NL"/>
              </w:rPr>
              <w:t>Recovery test wordt periodiek verdeeld over meerdere applicaties uitgevoerd</w:t>
            </w:r>
          </w:p>
        </w:tc>
      </w:tr>
      <w:tr w:rsidR="003C4D17" w:rsidRPr="00AB3230" w14:paraId="2E51C401" w14:textId="77777777" w:rsidTr="00F86BC8">
        <w:trPr>
          <w:gridAfter w:val="1"/>
          <w:wAfter w:w="23" w:type="dxa"/>
        </w:trPr>
        <w:tc>
          <w:tcPr>
            <w:tcW w:w="1943" w:type="dxa"/>
          </w:tcPr>
          <w:p w14:paraId="6CAB2013" w14:textId="77777777" w:rsidR="003C4D17" w:rsidRPr="00AB3230" w:rsidRDefault="003C4D17" w:rsidP="00F86BC8">
            <w:pPr>
              <w:rPr>
                <w:rFonts w:cs="Calibri"/>
                <w:b/>
                <w:lang w:val="nl-NL"/>
              </w:rPr>
            </w:pPr>
          </w:p>
        </w:tc>
        <w:tc>
          <w:tcPr>
            <w:tcW w:w="2646" w:type="dxa"/>
          </w:tcPr>
          <w:p w14:paraId="7BFA6E63" w14:textId="77777777" w:rsidR="003C4D17" w:rsidRPr="00AB3230" w:rsidRDefault="003C4D17" w:rsidP="00F86BC8">
            <w:pPr>
              <w:rPr>
                <w:rFonts w:cs="Calibri"/>
                <w:lang w:val="nl-NL"/>
              </w:rPr>
            </w:pPr>
            <w:r w:rsidRPr="00AB3230">
              <w:rPr>
                <w:rFonts w:cs="Calibri"/>
                <w:lang w:val="nl-NL"/>
              </w:rPr>
              <w:t>Ontwerp</w:t>
            </w:r>
          </w:p>
        </w:tc>
        <w:tc>
          <w:tcPr>
            <w:tcW w:w="1559" w:type="dxa"/>
          </w:tcPr>
          <w:p w14:paraId="5169C4F9" w14:textId="77777777" w:rsidR="003C4D17" w:rsidRPr="00AB3230" w:rsidRDefault="003C4D17" w:rsidP="00F86BC8">
            <w:pPr>
              <w:rPr>
                <w:rFonts w:cs="Calibri"/>
                <w:lang w:val="nl-NL"/>
              </w:rPr>
            </w:pPr>
            <w:r w:rsidRPr="00AB3230">
              <w:rPr>
                <w:rFonts w:cs="Calibri"/>
                <w:lang w:val="nl-NL"/>
              </w:rPr>
              <w:t>Voldaan</w:t>
            </w:r>
          </w:p>
        </w:tc>
        <w:tc>
          <w:tcPr>
            <w:tcW w:w="2319" w:type="dxa"/>
          </w:tcPr>
          <w:p w14:paraId="61B66BC8" w14:textId="77777777" w:rsidR="003C4D17" w:rsidRPr="00AB3230" w:rsidRDefault="003C4D17" w:rsidP="00F86BC8">
            <w:pPr>
              <w:rPr>
                <w:rFonts w:cs="Calibri"/>
                <w:lang w:val="nl-NL"/>
              </w:rPr>
            </w:pPr>
          </w:p>
        </w:tc>
      </w:tr>
      <w:tr w:rsidR="003C4D17" w:rsidRPr="00AB3230" w14:paraId="7B53199E" w14:textId="77777777" w:rsidTr="00F86BC8">
        <w:trPr>
          <w:gridAfter w:val="1"/>
          <w:wAfter w:w="23" w:type="dxa"/>
        </w:trPr>
        <w:tc>
          <w:tcPr>
            <w:tcW w:w="1943" w:type="dxa"/>
          </w:tcPr>
          <w:p w14:paraId="11D926DE" w14:textId="77777777" w:rsidR="003C4D17" w:rsidRPr="00AB3230" w:rsidRDefault="003C4D17" w:rsidP="00F86BC8">
            <w:pPr>
              <w:rPr>
                <w:rFonts w:cs="Calibri"/>
                <w:b/>
                <w:lang w:val="nl-NL"/>
              </w:rPr>
            </w:pPr>
          </w:p>
        </w:tc>
        <w:tc>
          <w:tcPr>
            <w:tcW w:w="2646" w:type="dxa"/>
          </w:tcPr>
          <w:p w14:paraId="52B4D795" w14:textId="77777777" w:rsidR="003C4D17" w:rsidRPr="00AB3230" w:rsidRDefault="003C4D17" w:rsidP="00F86BC8">
            <w:pPr>
              <w:rPr>
                <w:rFonts w:cs="Calibri"/>
                <w:lang w:val="nl-NL"/>
              </w:rPr>
            </w:pPr>
            <w:r w:rsidRPr="00AB3230">
              <w:rPr>
                <w:rFonts w:cs="Calibri"/>
                <w:lang w:val="nl-NL"/>
              </w:rPr>
              <w:t>Monitoring</w:t>
            </w:r>
          </w:p>
        </w:tc>
        <w:tc>
          <w:tcPr>
            <w:tcW w:w="1559" w:type="dxa"/>
          </w:tcPr>
          <w:p w14:paraId="7EBF4D29" w14:textId="77777777" w:rsidR="003C4D17" w:rsidRPr="00AB3230" w:rsidRDefault="003C4D17" w:rsidP="00F86BC8">
            <w:pPr>
              <w:rPr>
                <w:rFonts w:cs="Calibri"/>
                <w:lang w:val="nl-NL"/>
              </w:rPr>
            </w:pPr>
            <w:r w:rsidRPr="00AB3230">
              <w:rPr>
                <w:rFonts w:cs="Calibri"/>
                <w:lang w:val="nl-NL"/>
              </w:rPr>
              <w:t>Voldaan</w:t>
            </w:r>
          </w:p>
        </w:tc>
        <w:tc>
          <w:tcPr>
            <w:tcW w:w="2319" w:type="dxa"/>
          </w:tcPr>
          <w:p w14:paraId="0C001C87" w14:textId="77777777" w:rsidR="003C4D17" w:rsidRPr="00AB3230" w:rsidRDefault="003C4D17" w:rsidP="00F86BC8">
            <w:pPr>
              <w:rPr>
                <w:rFonts w:cs="Calibri"/>
                <w:lang w:val="nl-NL"/>
              </w:rPr>
            </w:pPr>
          </w:p>
        </w:tc>
      </w:tr>
      <w:tr w:rsidR="003C4D17" w:rsidRPr="00AB3230" w14:paraId="7DF8ABA9" w14:textId="77777777" w:rsidTr="00F86BC8">
        <w:trPr>
          <w:gridAfter w:val="1"/>
          <w:wAfter w:w="23" w:type="dxa"/>
        </w:trPr>
        <w:tc>
          <w:tcPr>
            <w:tcW w:w="1943" w:type="dxa"/>
          </w:tcPr>
          <w:p w14:paraId="3E0AB38A" w14:textId="77777777" w:rsidR="003C4D17" w:rsidRPr="00AB3230" w:rsidRDefault="003C4D17" w:rsidP="00F86BC8">
            <w:pPr>
              <w:rPr>
                <w:rFonts w:cs="Calibri"/>
                <w:b/>
                <w:lang w:val="nl-NL"/>
              </w:rPr>
            </w:pPr>
          </w:p>
        </w:tc>
        <w:tc>
          <w:tcPr>
            <w:tcW w:w="2646" w:type="dxa"/>
          </w:tcPr>
          <w:p w14:paraId="3B9699C3" w14:textId="77777777" w:rsidR="003C4D17" w:rsidRPr="00AB3230" w:rsidRDefault="003C4D17" w:rsidP="00F86BC8">
            <w:pPr>
              <w:rPr>
                <w:rFonts w:cs="Calibri"/>
                <w:lang w:val="nl-NL"/>
              </w:rPr>
            </w:pPr>
            <w:r w:rsidRPr="00AB3230">
              <w:rPr>
                <w:rFonts w:cs="Calibri"/>
                <w:lang w:val="nl-NL"/>
              </w:rPr>
              <w:t>Testen</w:t>
            </w:r>
          </w:p>
        </w:tc>
        <w:tc>
          <w:tcPr>
            <w:tcW w:w="1559" w:type="dxa"/>
          </w:tcPr>
          <w:p w14:paraId="1B95A582" w14:textId="77777777" w:rsidR="003C4D17" w:rsidRPr="00AB3230" w:rsidRDefault="003C4D17" w:rsidP="00F86BC8">
            <w:pPr>
              <w:rPr>
                <w:rFonts w:cs="Calibri"/>
                <w:lang w:val="nl-NL"/>
              </w:rPr>
            </w:pPr>
            <w:r w:rsidRPr="00AB3230">
              <w:rPr>
                <w:rFonts w:cs="Calibri"/>
                <w:lang w:val="nl-NL"/>
              </w:rPr>
              <w:t>Voldaan</w:t>
            </w:r>
          </w:p>
        </w:tc>
        <w:tc>
          <w:tcPr>
            <w:tcW w:w="2319" w:type="dxa"/>
          </w:tcPr>
          <w:p w14:paraId="56FB33A2" w14:textId="77777777" w:rsidR="003C4D17" w:rsidRPr="00AB3230" w:rsidRDefault="003C4D17" w:rsidP="00F86BC8">
            <w:pPr>
              <w:rPr>
                <w:rFonts w:cs="Calibri"/>
                <w:lang w:val="nl-NL"/>
              </w:rPr>
            </w:pPr>
          </w:p>
        </w:tc>
      </w:tr>
      <w:tr w:rsidR="003C4D17" w:rsidRPr="00AB3230" w14:paraId="037B5A1E" w14:textId="77777777" w:rsidTr="00F86BC8">
        <w:trPr>
          <w:gridAfter w:val="1"/>
          <w:wAfter w:w="23" w:type="dxa"/>
        </w:trPr>
        <w:tc>
          <w:tcPr>
            <w:tcW w:w="1943" w:type="dxa"/>
          </w:tcPr>
          <w:p w14:paraId="47DE5C1E" w14:textId="77777777" w:rsidR="003C4D17" w:rsidRPr="00AB3230" w:rsidRDefault="003C4D17" w:rsidP="00F86BC8">
            <w:pPr>
              <w:rPr>
                <w:rFonts w:cs="Calibri"/>
                <w:b/>
                <w:lang w:val="nl-NL"/>
              </w:rPr>
            </w:pPr>
          </w:p>
        </w:tc>
        <w:tc>
          <w:tcPr>
            <w:tcW w:w="2646" w:type="dxa"/>
          </w:tcPr>
          <w:p w14:paraId="3880D021" w14:textId="77777777" w:rsidR="003C4D17" w:rsidRPr="00AB3230" w:rsidRDefault="003C4D17" w:rsidP="00F86BC8">
            <w:pPr>
              <w:rPr>
                <w:rFonts w:cs="Calibri"/>
                <w:lang w:val="nl-NL"/>
              </w:rPr>
            </w:pPr>
            <w:r w:rsidRPr="00AB3230">
              <w:rPr>
                <w:rFonts w:cs="Calibri"/>
                <w:lang w:val="nl-NL"/>
              </w:rPr>
              <w:t>Software</w:t>
            </w:r>
          </w:p>
        </w:tc>
        <w:tc>
          <w:tcPr>
            <w:tcW w:w="1559" w:type="dxa"/>
          </w:tcPr>
          <w:p w14:paraId="40BD44AD" w14:textId="77777777" w:rsidR="003C4D17" w:rsidRPr="00AB3230" w:rsidRDefault="003C4D17" w:rsidP="00F86BC8">
            <w:pPr>
              <w:rPr>
                <w:rFonts w:cs="Calibri"/>
                <w:lang w:val="nl-NL"/>
              </w:rPr>
            </w:pPr>
            <w:r w:rsidRPr="00AB3230">
              <w:rPr>
                <w:rFonts w:cs="Calibri"/>
                <w:lang w:val="nl-NL"/>
              </w:rPr>
              <w:t>Voldaan</w:t>
            </w:r>
          </w:p>
        </w:tc>
        <w:tc>
          <w:tcPr>
            <w:tcW w:w="2319" w:type="dxa"/>
          </w:tcPr>
          <w:p w14:paraId="38006DA6" w14:textId="77777777" w:rsidR="003C4D17" w:rsidRPr="00AB3230" w:rsidRDefault="003C4D17" w:rsidP="00F86BC8">
            <w:pPr>
              <w:rPr>
                <w:rFonts w:cs="Calibri"/>
                <w:lang w:val="nl-NL"/>
              </w:rPr>
            </w:pPr>
          </w:p>
        </w:tc>
      </w:tr>
      <w:tr w:rsidR="003C4D17" w:rsidRPr="00AB3230" w14:paraId="5CE6486D" w14:textId="77777777" w:rsidTr="00F86BC8">
        <w:trPr>
          <w:gridAfter w:val="1"/>
          <w:wAfter w:w="23" w:type="dxa"/>
        </w:trPr>
        <w:tc>
          <w:tcPr>
            <w:tcW w:w="1943" w:type="dxa"/>
          </w:tcPr>
          <w:p w14:paraId="2E3CD816" w14:textId="77777777" w:rsidR="003C4D17" w:rsidRPr="00AB3230" w:rsidRDefault="003C4D17" w:rsidP="00F86BC8">
            <w:pPr>
              <w:rPr>
                <w:rFonts w:cs="Calibri"/>
                <w:b/>
                <w:lang w:val="nl-NL"/>
              </w:rPr>
            </w:pPr>
          </w:p>
        </w:tc>
        <w:tc>
          <w:tcPr>
            <w:tcW w:w="2646" w:type="dxa"/>
          </w:tcPr>
          <w:p w14:paraId="6F3A9DC1" w14:textId="77777777" w:rsidR="003C4D17" w:rsidRPr="00AB3230" w:rsidRDefault="003C4D17" w:rsidP="00F86BC8">
            <w:pPr>
              <w:rPr>
                <w:rFonts w:cs="Calibri"/>
                <w:lang w:val="nl-NL"/>
              </w:rPr>
            </w:pPr>
            <w:r w:rsidRPr="00AB3230">
              <w:rPr>
                <w:rFonts w:cs="Calibri"/>
                <w:lang w:val="nl-NL"/>
              </w:rPr>
              <w:t>Actuele dreigingen</w:t>
            </w:r>
          </w:p>
        </w:tc>
        <w:tc>
          <w:tcPr>
            <w:tcW w:w="1559" w:type="dxa"/>
          </w:tcPr>
          <w:p w14:paraId="36C2E62E" w14:textId="77777777" w:rsidR="003C4D17" w:rsidRPr="00AB3230" w:rsidRDefault="003C4D17" w:rsidP="00F86BC8">
            <w:pPr>
              <w:rPr>
                <w:rFonts w:cs="Calibri"/>
                <w:lang w:val="nl-NL"/>
              </w:rPr>
            </w:pPr>
            <w:r w:rsidRPr="00AB3230">
              <w:rPr>
                <w:rFonts w:cs="Calibri"/>
                <w:lang w:val="nl-NL"/>
              </w:rPr>
              <w:t>Voldaan</w:t>
            </w:r>
          </w:p>
        </w:tc>
        <w:tc>
          <w:tcPr>
            <w:tcW w:w="2319" w:type="dxa"/>
          </w:tcPr>
          <w:p w14:paraId="6E05504B" w14:textId="77777777" w:rsidR="003C4D17" w:rsidRPr="00AB3230" w:rsidRDefault="003C4D17" w:rsidP="00F86BC8">
            <w:pPr>
              <w:rPr>
                <w:rFonts w:cs="Calibri"/>
                <w:lang w:val="nl-NL"/>
              </w:rPr>
            </w:pPr>
          </w:p>
        </w:tc>
      </w:tr>
      <w:tr w:rsidR="003C4D17" w:rsidRPr="00AB3230" w14:paraId="63DB79AF" w14:textId="77777777" w:rsidTr="00F86BC8">
        <w:trPr>
          <w:gridAfter w:val="1"/>
          <w:wAfter w:w="23" w:type="dxa"/>
        </w:trPr>
        <w:tc>
          <w:tcPr>
            <w:tcW w:w="1943" w:type="dxa"/>
          </w:tcPr>
          <w:p w14:paraId="09756F1E" w14:textId="77777777" w:rsidR="003C4D17" w:rsidRPr="00AB3230" w:rsidRDefault="003C4D17" w:rsidP="00F86BC8">
            <w:pPr>
              <w:rPr>
                <w:rFonts w:cs="Calibri"/>
                <w:b/>
                <w:lang w:val="nl-NL"/>
              </w:rPr>
            </w:pPr>
            <w:r w:rsidRPr="00AB3230">
              <w:rPr>
                <w:rFonts w:cs="Calibri"/>
                <w:b/>
                <w:lang w:val="nl-NL"/>
              </w:rPr>
              <w:t>Integriteit</w:t>
            </w:r>
          </w:p>
        </w:tc>
        <w:tc>
          <w:tcPr>
            <w:tcW w:w="2646" w:type="dxa"/>
          </w:tcPr>
          <w:p w14:paraId="79348C7D" w14:textId="77777777" w:rsidR="003C4D17" w:rsidRPr="00AB3230" w:rsidRDefault="003C4D17" w:rsidP="00F86BC8">
            <w:pPr>
              <w:rPr>
                <w:rFonts w:cs="Calibri"/>
                <w:lang w:val="nl-NL"/>
              </w:rPr>
            </w:pPr>
            <w:r w:rsidRPr="00AB3230">
              <w:rPr>
                <w:rFonts w:cs="Calibri"/>
                <w:lang w:val="nl-NL"/>
              </w:rPr>
              <w:t>Herleidbaarheid (gebruikers)</w:t>
            </w:r>
          </w:p>
        </w:tc>
        <w:tc>
          <w:tcPr>
            <w:tcW w:w="1559" w:type="dxa"/>
          </w:tcPr>
          <w:p w14:paraId="6FFE9942" w14:textId="77777777" w:rsidR="003C4D17" w:rsidRPr="00AB3230" w:rsidRDefault="003C4D17" w:rsidP="00F86BC8">
            <w:pPr>
              <w:rPr>
                <w:rFonts w:cs="Calibri"/>
                <w:lang w:val="nl-NL"/>
              </w:rPr>
            </w:pPr>
            <w:r w:rsidRPr="00AB3230">
              <w:rPr>
                <w:rFonts w:cs="Calibri"/>
                <w:lang w:val="nl-NL"/>
              </w:rPr>
              <w:t>Voldaan</w:t>
            </w:r>
          </w:p>
        </w:tc>
        <w:tc>
          <w:tcPr>
            <w:tcW w:w="2319" w:type="dxa"/>
          </w:tcPr>
          <w:p w14:paraId="154A70F1" w14:textId="77777777" w:rsidR="003C4D17" w:rsidRPr="00AB3230" w:rsidRDefault="003C4D17" w:rsidP="00F86BC8">
            <w:pPr>
              <w:rPr>
                <w:rFonts w:cs="Calibri"/>
                <w:lang w:val="nl-NL"/>
              </w:rPr>
            </w:pPr>
          </w:p>
        </w:tc>
      </w:tr>
      <w:tr w:rsidR="003C4D17" w:rsidRPr="00AB3230" w14:paraId="3339396B" w14:textId="77777777" w:rsidTr="00F86BC8">
        <w:trPr>
          <w:gridAfter w:val="1"/>
          <w:wAfter w:w="23" w:type="dxa"/>
        </w:trPr>
        <w:tc>
          <w:tcPr>
            <w:tcW w:w="1943" w:type="dxa"/>
          </w:tcPr>
          <w:p w14:paraId="75D807E3" w14:textId="77777777" w:rsidR="003C4D17" w:rsidRPr="00AB3230" w:rsidRDefault="003C4D17" w:rsidP="00F86BC8">
            <w:pPr>
              <w:rPr>
                <w:rFonts w:cs="Calibri"/>
                <w:b/>
                <w:lang w:val="nl-NL"/>
              </w:rPr>
            </w:pPr>
          </w:p>
        </w:tc>
        <w:tc>
          <w:tcPr>
            <w:tcW w:w="2646" w:type="dxa"/>
          </w:tcPr>
          <w:p w14:paraId="7BB37D15" w14:textId="77777777" w:rsidR="003C4D17" w:rsidRPr="00AB3230" w:rsidRDefault="003C4D17" w:rsidP="00F86BC8">
            <w:pPr>
              <w:rPr>
                <w:rFonts w:cs="Calibri"/>
                <w:lang w:val="nl-NL"/>
              </w:rPr>
            </w:pPr>
            <w:r w:rsidRPr="00AB3230">
              <w:rPr>
                <w:rFonts w:cs="Calibri"/>
                <w:lang w:val="nl-NL"/>
              </w:rPr>
              <w:t>Backup</w:t>
            </w:r>
          </w:p>
        </w:tc>
        <w:tc>
          <w:tcPr>
            <w:tcW w:w="1559" w:type="dxa"/>
          </w:tcPr>
          <w:p w14:paraId="2FD284F1" w14:textId="77777777" w:rsidR="003C4D17" w:rsidRPr="00AB3230" w:rsidRDefault="003C4D17" w:rsidP="00F86BC8">
            <w:pPr>
              <w:rPr>
                <w:rFonts w:cs="Calibri"/>
                <w:lang w:val="nl-NL"/>
              </w:rPr>
            </w:pPr>
            <w:r w:rsidRPr="00AB3230">
              <w:rPr>
                <w:rFonts w:cs="Calibri"/>
                <w:lang w:val="nl-NL"/>
              </w:rPr>
              <w:t>Voldaan</w:t>
            </w:r>
          </w:p>
        </w:tc>
        <w:tc>
          <w:tcPr>
            <w:tcW w:w="2319" w:type="dxa"/>
          </w:tcPr>
          <w:p w14:paraId="3A42E433" w14:textId="77777777" w:rsidR="003C4D17" w:rsidRPr="00AB3230" w:rsidRDefault="003C4D17" w:rsidP="00F86BC8">
            <w:pPr>
              <w:rPr>
                <w:rFonts w:cs="Calibri"/>
                <w:lang w:val="nl-NL"/>
              </w:rPr>
            </w:pPr>
          </w:p>
        </w:tc>
      </w:tr>
      <w:tr w:rsidR="003C4D17" w:rsidRPr="00AB3230" w14:paraId="0EC93630" w14:textId="77777777" w:rsidTr="00F86BC8">
        <w:trPr>
          <w:gridAfter w:val="1"/>
          <w:wAfter w:w="23" w:type="dxa"/>
        </w:trPr>
        <w:tc>
          <w:tcPr>
            <w:tcW w:w="1943" w:type="dxa"/>
          </w:tcPr>
          <w:p w14:paraId="355C7CE3" w14:textId="77777777" w:rsidR="003C4D17" w:rsidRPr="00AB3230" w:rsidRDefault="003C4D17" w:rsidP="00F86BC8">
            <w:pPr>
              <w:rPr>
                <w:rFonts w:cs="Calibri"/>
                <w:b/>
                <w:lang w:val="nl-NL"/>
              </w:rPr>
            </w:pPr>
          </w:p>
        </w:tc>
        <w:tc>
          <w:tcPr>
            <w:tcW w:w="2646" w:type="dxa"/>
          </w:tcPr>
          <w:p w14:paraId="382FE117" w14:textId="77777777" w:rsidR="003C4D17" w:rsidRPr="00AB3230" w:rsidRDefault="003C4D17" w:rsidP="00F86BC8">
            <w:pPr>
              <w:rPr>
                <w:rFonts w:cs="Calibri"/>
                <w:lang w:val="nl-NL"/>
              </w:rPr>
            </w:pPr>
            <w:r w:rsidRPr="00AB3230">
              <w:rPr>
                <w:rFonts w:cs="Calibri"/>
                <w:lang w:val="nl-NL"/>
              </w:rPr>
              <w:t>Application controls</w:t>
            </w:r>
          </w:p>
        </w:tc>
        <w:tc>
          <w:tcPr>
            <w:tcW w:w="1559" w:type="dxa"/>
          </w:tcPr>
          <w:p w14:paraId="1FDAF3EB" w14:textId="77777777" w:rsidR="003C4D17" w:rsidRPr="00AB3230" w:rsidRDefault="003C4D17" w:rsidP="00F86BC8">
            <w:pPr>
              <w:rPr>
                <w:rFonts w:cs="Calibri"/>
                <w:lang w:val="nl-NL"/>
              </w:rPr>
            </w:pPr>
            <w:r w:rsidRPr="00AB3230">
              <w:rPr>
                <w:rFonts w:cs="Calibri"/>
                <w:lang w:val="nl-NL"/>
              </w:rPr>
              <w:t>Voldaan</w:t>
            </w:r>
          </w:p>
        </w:tc>
        <w:tc>
          <w:tcPr>
            <w:tcW w:w="2319" w:type="dxa"/>
          </w:tcPr>
          <w:p w14:paraId="2DCC3991" w14:textId="77777777" w:rsidR="003C4D17" w:rsidRPr="00AB3230" w:rsidRDefault="003C4D17" w:rsidP="00F86BC8">
            <w:pPr>
              <w:rPr>
                <w:rFonts w:cs="Calibri"/>
                <w:lang w:val="nl-NL"/>
              </w:rPr>
            </w:pPr>
          </w:p>
        </w:tc>
      </w:tr>
      <w:tr w:rsidR="003C4D17" w:rsidRPr="00AB3230" w14:paraId="645A8658" w14:textId="77777777" w:rsidTr="00F86BC8">
        <w:trPr>
          <w:gridAfter w:val="1"/>
          <w:wAfter w:w="23" w:type="dxa"/>
        </w:trPr>
        <w:tc>
          <w:tcPr>
            <w:tcW w:w="1943" w:type="dxa"/>
          </w:tcPr>
          <w:p w14:paraId="58307FFD" w14:textId="77777777" w:rsidR="003C4D17" w:rsidRPr="00AB3230" w:rsidRDefault="003C4D17" w:rsidP="00F86BC8">
            <w:pPr>
              <w:rPr>
                <w:rFonts w:cs="Calibri"/>
                <w:b/>
                <w:lang w:val="nl-NL"/>
              </w:rPr>
            </w:pPr>
          </w:p>
        </w:tc>
        <w:tc>
          <w:tcPr>
            <w:tcW w:w="2646" w:type="dxa"/>
          </w:tcPr>
          <w:p w14:paraId="57AB01B9" w14:textId="77777777" w:rsidR="003C4D17" w:rsidRPr="00AB3230" w:rsidRDefault="003C4D17" w:rsidP="00F86BC8">
            <w:pPr>
              <w:rPr>
                <w:rFonts w:cs="Calibri"/>
                <w:lang w:val="nl-NL"/>
              </w:rPr>
            </w:pPr>
            <w:r w:rsidRPr="00AB3230">
              <w:rPr>
                <w:rFonts w:cs="Calibri"/>
                <w:lang w:val="nl-NL"/>
              </w:rPr>
              <w:t>Onweerlegbaarheid</w:t>
            </w:r>
          </w:p>
        </w:tc>
        <w:tc>
          <w:tcPr>
            <w:tcW w:w="1559" w:type="dxa"/>
          </w:tcPr>
          <w:p w14:paraId="566DF6DD" w14:textId="77777777" w:rsidR="003C4D17" w:rsidRPr="00AB3230" w:rsidRDefault="003C4D17" w:rsidP="00F86BC8">
            <w:pPr>
              <w:rPr>
                <w:rFonts w:cs="Calibri"/>
                <w:lang w:val="nl-NL"/>
              </w:rPr>
            </w:pPr>
            <w:r w:rsidRPr="00AB3230">
              <w:rPr>
                <w:rFonts w:cs="Calibri"/>
                <w:lang w:val="nl-NL"/>
              </w:rPr>
              <w:t>Voldaan</w:t>
            </w:r>
          </w:p>
        </w:tc>
        <w:tc>
          <w:tcPr>
            <w:tcW w:w="2319" w:type="dxa"/>
          </w:tcPr>
          <w:p w14:paraId="53A46243" w14:textId="77777777" w:rsidR="003C4D17" w:rsidRPr="00AB3230" w:rsidRDefault="003C4D17" w:rsidP="00F86BC8">
            <w:pPr>
              <w:rPr>
                <w:rFonts w:cs="Calibri"/>
                <w:lang w:val="nl-NL"/>
              </w:rPr>
            </w:pPr>
          </w:p>
        </w:tc>
      </w:tr>
      <w:tr w:rsidR="003C4D17" w:rsidRPr="00AB3230" w14:paraId="5B2ABE0B" w14:textId="77777777" w:rsidTr="00F86BC8">
        <w:trPr>
          <w:gridAfter w:val="1"/>
          <w:wAfter w:w="23" w:type="dxa"/>
        </w:trPr>
        <w:tc>
          <w:tcPr>
            <w:tcW w:w="1943" w:type="dxa"/>
          </w:tcPr>
          <w:p w14:paraId="7FE0CE48" w14:textId="77777777" w:rsidR="003C4D17" w:rsidRPr="00AB3230" w:rsidRDefault="003C4D17" w:rsidP="00F86BC8">
            <w:pPr>
              <w:rPr>
                <w:rFonts w:cs="Calibri"/>
                <w:b/>
                <w:lang w:val="nl-NL"/>
              </w:rPr>
            </w:pPr>
          </w:p>
        </w:tc>
        <w:tc>
          <w:tcPr>
            <w:tcW w:w="2646" w:type="dxa"/>
          </w:tcPr>
          <w:p w14:paraId="6E56AB12" w14:textId="77777777" w:rsidR="003C4D17" w:rsidRPr="00AB3230" w:rsidRDefault="003C4D17" w:rsidP="00F86BC8">
            <w:pPr>
              <w:rPr>
                <w:rFonts w:cs="Calibri"/>
                <w:lang w:val="nl-NL"/>
              </w:rPr>
            </w:pPr>
            <w:r w:rsidRPr="00AB3230">
              <w:rPr>
                <w:rFonts w:cs="Calibri"/>
                <w:lang w:val="nl-NL"/>
              </w:rPr>
              <w:t>Herleidbaarheid (technisch beheer)</w:t>
            </w:r>
          </w:p>
        </w:tc>
        <w:tc>
          <w:tcPr>
            <w:tcW w:w="1559" w:type="dxa"/>
          </w:tcPr>
          <w:p w14:paraId="0DEDC8C1" w14:textId="77777777" w:rsidR="003C4D17" w:rsidRPr="00AB3230" w:rsidRDefault="003C4D17" w:rsidP="00F86BC8">
            <w:pPr>
              <w:rPr>
                <w:rFonts w:cs="Calibri"/>
                <w:lang w:val="nl-NL"/>
              </w:rPr>
            </w:pPr>
            <w:r w:rsidRPr="00AB3230">
              <w:rPr>
                <w:rFonts w:cs="Calibri"/>
                <w:lang w:val="nl-NL"/>
              </w:rPr>
              <w:t>Voldaan</w:t>
            </w:r>
          </w:p>
        </w:tc>
        <w:tc>
          <w:tcPr>
            <w:tcW w:w="2319" w:type="dxa"/>
          </w:tcPr>
          <w:p w14:paraId="763B4749" w14:textId="77777777" w:rsidR="003C4D17" w:rsidRPr="00AB3230" w:rsidRDefault="003C4D17" w:rsidP="00F86BC8">
            <w:pPr>
              <w:rPr>
                <w:rFonts w:cs="Calibri"/>
                <w:lang w:val="nl-NL"/>
              </w:rPr>
            </w:pPr>
          </w:p>
        </w:tc>
      </w:tr>
      <w:tr w:rsidR="003C4D17" w:rsidRPr="00AB3230" w14:paraId="082C43FC" w14:textId="77777777" w:rsidTr="00F86BC8">
        <w:trPr>
          <w:gridAfter w:val="1"/>
          <w:wAfter w:w="23" w:type="dxa"/>
        </w:trPr>
        <w:tc>
          <w:tcPr>
            <w:tcW w:w="1943" w:type="dxa"/>
          </w:tcPr>
          <w:p w14:paraId="11C99606" w14:textId="77777777" w:rsidR="003C4D17" w:rsidRPr="00AB3230" w:rsidRDefault="003C4D17" w:rsidP="00F86BC8">
            <w:pPr>
              <w:rPr>
                <w:rFonts w:cs="Calibri"/>
                <w:b/>
                <w:lang w:val="nl-NL"/>
              </w:rPr>
            </w:pPr>
          </w:p>
        </w:tc>
        <w:tc>
          <w:tcPr>
            <w:tcW w:w="2646" w:type="dxa"/>
          </w:tcPr>
          <w:p w14:paraId="7D8D187A" w14:textId="77777777" w:rsidR="003C4D17" w:rsidRPr="00AB3230" w:rsidRDefault="003C4D17" w:rsidP="00F86BC8">
            <w:pPr>
              <w:rPr>
                <w:rFonts w:cs="Calibri"/>
                <w:lang w:val="nl-NL"/>
              </w:rPr>
            </w:pPr>
            <w:r w:rsidRPr="00AB3230">
              <w:rPr>
                <w:rFonts w:cs="Calibri"/>
                <w:lang w:val="nl-NL"/>
              </w:rPr>
              <w:t>Controle integriteit</w:t>
            </w:r>
          </w:p>
        </w:tc>
        <w:tc>
          <w:tcPr>
            <w:tcW w:w="1559" w:type="dxa"/>
          </w:tcPr>
          <w:p w14:paraId="28F0F848" w14:textId="77777777" w:rsidR="003C4D17" w:rsidRPr="00AB3230" w:rsidRDefault="003C4D17" w:rsidP="00F86BC8">
            <w:pPr>
              <w:rPr>
                <w:rFonts w:cs="Calibri"/>
                <w:lang w:val="nl-NL"/>
              </w:rPr>
            </w:pPr>
            <w:r w:rsidRPr="00AB3230">
              <w:rPr>
                <w:rFonts w:cs="Calibri"/>
                <w:lang w:val="nl-NL"/>
              </w:rPr>
              <w:t>Voldaan</w:t>
            </w:r>
          </w:p>
        </w:tc>
        <w:tc>
          <w:tcPr>
            <w:tcW w:w="2319" w:type="dxa"/>
          </w:tcPr>
          <w:p w14:paraId="3F71B4A7" w14:textId="77777777" w:rsidR="003C4D17" w:rsidRPr="00AB3230" w:rsidRDefault="003C4D17" w:rsidP="00F86BC8">
            <w:pPr>
              <w:rPr>
                <w:rFonts w:cs="Calibri"/>
                <w:lang w:val="nl-NL"/>
              </w:rPr>
            </w:pPr>
          </w:p>
        </w:tc>
      </w:tr>
      <w:tr w:rsidR="003C4D17" w:rsidRPr="00AB3230" w14:paraId="08370504" w14:textId="77777777" w:rsidTr="00F86BC8">
        <w:trPr>
          <w:gridAfter w:val="1"/>
          <w:wAfter w:w="23" w:type="dxa"/>
        </w:trPr>
        <w:tc>
          <w:tcPr>
            <w:tcW w:w="1943" w:type="dxa"/>
          </w:tcPr>
          <w:p w14:paraId="2538E1CE" w14:textId="77777777" w:rsidR="003C4D17" w:rsidRPr="00AB3230" w:rsidRDefault="003C4D17" w:rsidP="00F86BC8">
            <w:pPr>
              <w:rPr>
                <w:rFonts w:cs="Calibri"/>
                <w:b/>
                <w:lang w:val="nl-NL"/>
              </w:rPr>
            </w:pPr>
          </w:p>
        </w:tc>
        <w:tc>
          <w:tcPr>
            <w:tcW w:w="2646" w:type="dxa"/>
          </w:tcPr>
          <w:p w14:paraId="123B6BB6" w14:textId="77777777" w:rsidR="003C4D17" w:rsidRPr="00AB3230" w:rsidRDefault="003C4D17" w:rsidP="00F86BC8">
            <w:pPr>
              <w:rPr>
                <w:rFonts w:cs="Calibri"/>
                <w:lang w:val="nl-NL"/>
              </w:rPr>
            </w:pPr>
            <w:r w:rsidRPr="00AB3230">
              <w:rPr>
                <w:rFonts w:cs="Calibri"/>
                <w:lang w:val="nl-NL"/>
              </w:rPr>
              <w:t>Onweerlegbaarheid</w:t>
            </w:r>
          </w:p>
        </w:tc>
        <w:tc>
          <w:tcPr>
            <w:tcW w:w="1559" w:type="dxa"/>
          </w:tcPr>
          <w:p w14:paraId="0C9FF0B9" w14:textId="77777777" w:rsidR="003C4D17" w:rsidRPr="00AB3230" w:rsidRDefault="003C4D17" w:rsidP="00F86BC8">
            <w:pPr>
              <w:rPr>
                <w:rFonts w:cs="Calibri"/>
                <w:lang w:val="nl-NL"/>
              </w:rPr>
            </w:pPr>
            <w:r w:rsidRPr="00AB3230">
              <w:rPr>
                <w:rFonts w:cs="Calibri"/>
                <w:lang w:val="nl-NL"/>
              </w:rPr>
              <w:t>Voldaan</w:t>
            </w:r>
          </w:p>
        </w:tc>
        <w:tc>
          <w:tcPr>
            <w:tcW w:w="2319" w:type="dxa"/>
          </w:tcPr>
          <w:p w14:paraId="6EE2A73F" w14:textId="77777777" w:rsidR="003C4D17" w:rsidRPr="00AB3230" w:rsidRDefault="003C4D17" w:rsidP="00F86BC8">
            <w:pPr>
              <w:rPr>
                <w:rFonts w:cs="Calibri"/>
                <w:lang w:val="nl-NL"/>
              </w:rPr>
            </w:pPr>
          </w:p>
        </w:tc>
      </w:tr>
      <w:tr w:rsidR="003C4D17" w:rsidRPr="00AB3230" w14:paraId="4B3C327C" w14:textId="77777777" w:rsidTr="00F86BC8">
        <w:trPr>
          <w:gridAfter w:val="1"/>
          <w:wAfter w:w="23" w:type="dxa"/>
        </w:trPr>
        <w:tc>
          <w:tcPr>
            <w:tcW w:w="1943" w:type="dxa"/>
          </w:tcPr>
          <w:p w14:paraId="41C817EF" w14:textId="77777777" w:rsidR="003C4D17" w:rsidRPr="00AB3230" w:rsidRDefault="003C4D17" w:rsidP="00F86BC8">
            <w:pPr>
              <w:rPr>
                <w:rFonts w:cs="Calibri"/>
                <w:b/>
                <w:lang w:val="nl-NL"/>
              </w:rPr>
            </w:pPr>
          </w:p>
        </w:tc>
        <w:tc>
          <w:tcPr>
            <w:tcW w:w="2646" w:type="dxa"/>
          </w:tcPr>
          <w:p w14:paraId="344B0F7B" w14:textId="77777777" w:rsidR="003C4D17" w:rsidRPr="00AB3230" w:rsidRDefault="003C4D17" w:rsidP="00F86BC8">
            <w:pPr>
              <w:rPr>
                <w:rFonts w:cs="Calibri"/>
                <w:lang w:val="nl-NL"/>
              </w:rPr>
            </w:pPr>
            <w:r w:rsidRPr="00AB3230">
              <w:rPr>
                <w:rFonts w:cs="Calibri"/>
                <w:lang w:val="nl-NL"/>
              </w:rPr>
              <w:t>Actuele dreigingen</w:t>
            </w:r>
          </w:p>
        </w:tc>
        <w:tc>
          <w:tcPr>
            <w:tcW w:w="1559" w:type="dxa"/>
          </w:tcPr>
          <w:p w14:paraId="3E9DAB7D" w14:textId="77777777" w:rsidR="003C4D17" w:rsidRPr="00AB3230" w:rsidRDefault="003C4D17" w:rsidP="00F86BC8">
            <w:pPr>
              <w:rPr>
                <w:rFonts w:cs="Calibri"/>
                <w:lang w:val="nl-NL"/>
              </w:rPr>
            </w:pPr>
            <w:r w:rsidRPr="00AB3230">
              <w:rPr>
                <w:rFonts w:cs="Calibri"/>
                <w:lang w:val="nl-NL"/>
              </w:rPr>
              <w:t>Voldaan</w:t>
            </w:r>
          </w:p>
        </w:tc>
        <w:tc>
          <w:tcPr>
            <w:tcW w:w="2319" w:type="dxa"/>
          </w:tcPr>
          <w:p w14:paraId="41C8B107" w14:textId="77777777" w:rsidR="003C4D17" w:rsidRPr="00AB3230" w:rsidRDefault="003C4D17" w:rsidP="00F86BC8">
            <w:pPr>
              <w:rPr>
                <w:rFonts w:cs="Calibri"/>
                <w:lang w:val="nl-NL"/>
              </w:rPr>
            </w:pPr>
          </w:p>
        </w:tc>
      </w:tr>
      <w:tr w:rsidR="003C4D17" w:rsidRPr="00AB3230" w14:paraId="23A45BDB" w14:textId="77777777" w:rsidTr="00F86BC8">
        <w:trPr>
          <w:gridAfter w:val="1"/>
          <w:wAfter w:w="23" w:type="dxa"/>
        </w:trPr>
        <w:tc>
          <w:tcPr>
            <w:tcW w:w="1943" w:type="dxa"/>
          </w:tcPr>
          <w:p w14:paraId="5F6989D3" w14:textId="77777777" w:rsidR="003C4D17" w:rsidRPr="00AB3230" w:rsidRDefault="003C4D17" w:rsidP="00F86BC8">
            <w:pPr>
              <w:rPr>
                <w:rFonts w:cs="Calibri"/>
                <w:b/>
                <w:lang w:val="nl-NL"/>
              </w:rPr>
            </w:pPr>
            <w:r w:rsidRPr="00AB3230">
              <w:rPr>
                <w:rFonts w:cs="Calibri"/>
                <w:b/>
                <w:lang w:val="nl-NL"/>
              </w:rPr>
              <w:t>Vertrouwelijkheid</w:t>
            </w:r>
          </w:p>
        </w:tc>
        <w:tc>
          <w:tcPr>
            <w:tcW w:w="2646" w:type="dxa"/>
          </w:tcPr>
          <w:p w14:paraId="6ED94821" w14:textId="77777777" w:rsidR="003C4D17" w:rsidRPr="00AB3230" w:rsidRDefault="003C4D17" w:rsidP="00F86BC8">
            <w:pPr>
              <w:rPr>
                <w:rFonts w:cs="Calibri"/>
                <w:lang w:val="nl-NL"/>
              </w:rPr>
            </w:pPr>
            <w:r w:rsidRPr="00AB3230">
              <w:rPr>
                <w:rFonts w:cs="Calibri"/>
                <w:lang w:val="nl-NL"/>
              </w:rPr>
              <w:t>Levenscyclus gegevens</w:t>
            </w:r>
          </w:p>
        </w:tc>
        <w:tc>
          <w:tcPr>
            <w:tcW w:w="1559" w:type="dxa"/>
          </w:tcPr>
          <w:p w14:paraId="20B10A15" w14:textId="77777777" w:rsidR="003C4D17" w:rsidRPr="00AB3230" w:rsidRDefault="003C4D17" w:rsidP="00F86BC8">
            <w:pPr>
              <w:rPr>
                <w:rFonts w:cs="Calibri"/>
                <w:lang w:val="nl-NL"/>
              </w:rPr>
            </w:pPr>
            <w:r w:rsidRPr="00AB3230">
              <w:rPr>
                <w:rFonts w:cs="Calibri"/>
                <w:lang w:val="nl-NL"/>
              </w:rPr>
              <w:t>Voldaan</w:t>
            </w:r>
          </w:p>
        </w:tc>
        <w:tc>
          <w:tcPr>
            <w:tcW w:w="2319" w:type="dxa"/>
          </w:tcPr>
          <w:p w14:paraId="42DC9747" w14:textId="77777777" w:rsidR="003C4D17" w:rsidRPr="00AB3230" w:rsidRDefault="003C4D17" w:rsidP="00F86BC8">
            <w:pPr>
              <w:rPr>
                <w:rFonts w:cs="Calibri"/>
                <w:lang w:val="nl-NL"/>
              </w:rPr>
            </w:pPr>
          </w:p>
        </w:tc>
      </w:tr>
      <w:tr w:rsidR="003C4D17" w:rsidRPr="00AB3230" w14:paraId="16E517D5" w14:textId="77777777" w:rsidTr="00F86BC8">
        <w:trPr>
          <w:gridAfter w:val="1"/>
          <w:wAfter w:w="23" w:type="dxa"/>
        </w:trPr>
        <w:tc>
          <w:tcPr>
            <w:tcW w:w="1943" w:type="dxa"/>
          </w:tcPr>
          <w:p w14:paraId="7364AAF6" w14:textId="77777777" w:rsidR="003C4D17" w:rsidRPr="00AB3230" w:rsidRDefault="003C4D17" w:rsidP="00F86BC8">
            <w:pPr>
              <w:rPr>
                <w:rFonts w:cs="Calibri"/>
                <w:b/>
                <w:lang w:val="nl-NL"/>
              </w:rPr>
            </w:pPr>
          </w:p>
        </w:tc>
        <w:tc>
          <w:tcPr>
            <w:tcW w:w="2646" w:type="dxa"/>
          </w:tcPr>
          <w:p w14:paraId="77FF875D" w14:textId="77777777" w:rsidR="003C4D17" w:rsidRPr="00AB3230" w:rsidRDefault="003C4D17" w:rsidP="00F86BC8">
            <w:pPr>
              <w:rPr>
                <w:rFonts w:cs="Calibri"/>
                <w:lang w:val="nl-NL"/>
              </w:rPr>
            </w:pPr>
            <w:r w:rsidRPr="00AB3230">
              <w:rPr>
                <w:rFonts w:cs="Calibri"/>
                <w:lang w:val="nl-NL"/>
              </w:rPr>
              <w:t>Logische toegang</w:t>
            </w:r>
          </w:p>
        </w:tc>
        <w:tc>
          <w:tcPr>
            <w:tcW w:w="1559" w:type="dxa"/>
          </w:tcPr>
          <w:p w14:paraId="20F8FF7C" w14:textId="77777777" w:rsidR="003C4D17" w:rsidRPr="00AB3230" w:rsidRDefault="003C4D17" w:rsidP="00F86BC8">
            <w:pPr>
              <w:rPr>
                <w:rFonts w:cs="Calibri"/>
                <w:lang w:val="nl-NL"/>
              </w:rPr>
            </w:pPr>
            <w:r w:rsidRPr="00AB3230">
              <w:rPr>
                <w:rFonts w:cs="Calibri"/>
                <w:lang w:val="nl-NL"/>
              </w:rPr>
              <w:t>Voldaan</w:t>
            </w:r>
          </w:p>
        </w:tc>
        <w:tc>
          <w:tcPr>
            <w:tcW w:w="2319" w:type="dxa"/>
          </w:tcPr>
          <w:p w14:paraId="0B6E05E7" w14:textId="77777777" w:rsidR="003C4D17" w:rsidRPr="00AB3230" w:rsidRDefault="003C4D17" w:rsidP="00F86BC8">
            <w:pPr>
              <w:rPr>
                <w:rFonts w:cs="Calibri"/>
                <w:lang w:val="nl-NL"/>
              </w:rPr>
            </w:pPr>
          </w:p>
        </w:tc>
      </w:tr>
      <w:tr w:rsidR="003C4D17" w:rsidRPr="00AB3230" w14:paraId="7A121EB2" w14:textId="77777777" w:rsidTr="00F86BC8">
        <w:trPr>
          <w:gridAfter w:val="1"/>
          <w:wAfter w:w="23" w:type="dxa"/>
        </w:trPr>
        <w:tc>
          <w:tcPr>
            <w:tcW w:w="1943" w:type="dxa"/>
          </w:tcPr>
          <w:p w14:paraId="6DD00099" w14:textId="77777777" w:rsidR="003C4D17" w:rsidRPr="00AB3230" w:rsidRDefault="003C4D17" w:rsidP="00F86BC8">
            <w:pPr>
              <w:rPr>
                <w:rFonts w:cs="Calibri"/>
                <w:b/>
                <w:lang w:val="nl-NL"/>
              </w:rPr>
            </w:pPr>
          </w:p>
        </w:tc>
        <w:tc>
          <w:tcPr>
            <w:tcW w:w="2646" w:type="dxa"/>
          </w:tcPr>
          <w:p w14:paraId="5FB3CC97" w14:textId="77777777" w:rsidR="003C4D17" w:rsidRPr="00AB3230" w:rsidRDefault="003C4D17" w:rsidP="00F86BC8">
            <w:pPr>
              <w:rPr>
                <w:rFonts w:cs="Calibri"/>
                <w:lang w:val="nl-NL"/>
              </w:rPr>
            </w:pPr>
            <w:r w:rsidRPr="00AB3230">
              <w:rPr>
                <w:rFonts w:cs="Calibri"/>
                <w:lang w:val="nl-NL"/>
              </w:rPr>
              <w:t>Fysieke toegang</w:t>
            </w:r>
          </w:p>
        </w:tc>
        <w:tc>
          <w:tcPr>
            <w:tcW w:w="1559" w:type="dxa"/>
          </w:tcPr>
          <w:p w14:paraId="0FBCA2FC" w14:textId="77777777" w:rsidR="003C4D17" w:rsidRPr="00AB3230" w:rsidRDefault="003C4D17" w:rsidP="00F86BC8">
            <w:pPr>
              <w:rPr>
                <w:rFonts w:cs="Calibri"/>
                <w:lang w:val="nl-NL"/>
              </w:rPr>
            </w:pPr>
            <w:r w:rsidRPr="00AB3230">
              <w:rPr>
                <w:rFonts w:cs="Calibri"/>
                <w:lang w:val="nl-NL"/>
              </w:rPr>
              <w:t>Voldaan</w:t>
            </w:r>
          </w:p>
        </w:tc>
        <w:tc>
          <w:tcPr>
            <w:tcW w:w="2319" w:type="dxa"/>
          </w:tcPr>
          <w:p w14:paraId="52C56720" w14:textId="77777777" w:rsidR="003C4D17" w:rsidRPr="00AB3230" w:rsidRDefault="003C4D17" w:rsidP="00F86BC8">
            <w:pPr>
              <w:rPr>
                <w:rFonts w:cs="Calibri"/>
                <w:lang w:val="nl-NL"/>
              </w:rPr>
            </w:pPr>
          </w:p>
        </w:tc>
      </w:tr>
      <w:tr w:rsidR="003C4D17" w:rsidRPr="00AB3230" w14:paraId="47F9FF36" w14:textId="77777777" w:rsidTr="00F86BC8">
        <w:trPr>
          <w:gridAfter w:val="1"/>
          <w:wAfter w:w="23" w:type="dxa"/>
        </w:trPr>
        <w:tc>
          <w:tcPr>
            <w:tcW w:w="1943" w:type="dxa"/>
          </w:tcPr>
          <w:p w14:paraId="24309E55" w14:textId="77777777" w:rsidR="003C4D17" w:rsidRPr="00AB3230" w:rsidRDefault="003C4D17" w:rsidP="00F86BC8">
            <w:pPr>
              <w:rPr>
                <w:rFonts w:cs="Calibri"/>
                <w:b/>
                <w:lang w:val="nl-NL"/>
              </w:rPr>
            </w:pPr>
          </w:p>
        </w:tc>
        <w:tc>
          <w:tcPr>
            <w:tcW w:w="2646" w:type="dxa"/>
          </w:tcPr>
          <w:p w14:paraId="7836EC88" w14:textId="77777777" w:rsidR="003C4D17" w:rsidRPr="00AB3230" w:rsidRDefault="003C4D17" w:rsidP="00F86BC8">
            <w:pPr>
              <w:rPr>
                <w:rFonts w:cs="Calibri"/>
                <w:lang w:val="nl-NL"/>
              </w:rPr>
            </w:pPr>
            <w:r w:rsidRPr="00AB3230">
              <w:rPr>
                <w:rFonts w:cs="Calibri"/>
                <w:lang w:val="nl-NL"/>
              </w:rPr>
              <w:t>Netwerk toegang</w:t>
            </w:r>
          </w:p>
        </w:tc>
        <w:tc>
          <w:tcPr>
            <w:tcW w:w="1559" w:type="dxa"/>
          </w:tcPr>
          <w:p w14:paraId="6E1D0C73" w14:textId="77777777" w:rsidR="003C4D17" w:rsidRPr="00AB3230" w:rsidRDefault="003C4D17" w:rsidP="00F86BC8">
            <w:pPr>
              <w:rPr>
                <w:rFonts w:cs="Calibri"/>
                <w:lang w:val="nl-NL"/>
              </w:rPr>
            </w:pPr>
            <w:r w:rsidRPr="00AB3230">
              <w:rPr>
                <w:rFonts w:cs="Calibri"/>
                <w:lang w:val="nl-NL"/>
              </w:rPr>
              <w:t>Voldaan</w:t>
            </w:r>
          </w:p>
        </w:tc>
        <w:tc>
          <w:tcPr>
            <w:tcW w:w="2319" w:type="dxa"/>
          </w:tcPr>
          <w:p w14:paraId="6B73791B" w14:textId="77777777" w:rsidR="003C4D17" w:rsidRPr="00AB3230" w:rsidRDefault="003C4D17" w:rsidP="00F86BC8">
            <w:pPr>
              <w:rPr>
                <w:rFonts w:cs="Calibri"/>
                <w:lang w:val="nl-NL"/>
              </w:rPr>
            </w:pPr>
          </w:p>
        </w:tc>
      </w:tr>
      <w:tr w:rsidR="003C4D17" w:rsidRPr="00AB3230" w14:paraId="48A1AA65" w14:textId="77777777" w:rsidTr="00F86BC8">
        <w:trPr>
          <w:gridAfter w:val="1"/>
          <w:wAfter w:w="23" w:type="dxa"/>
        </w:trPr>
        <w:tc>
          <w:tcPr>
            <w:tcW w:w="1943" w:type="dxa"/>
          </w:tcPr>
          <w:p w14:paraId="5CC0A4F0" w14:textId="77777777" w:rsidR="003C4D17" w:rsidRPr="00AB3230" w:rsidRDefault="003C4D17" w:rsidP="00F86BC8">
            <w:pPr>
              <w:rPr>
                <w:rFonts w:cs="Calibri"/>
                <w:b/>
                <w:lang w:val="nl-NL"/>
              </w:rPr>
            </w:pPr>
          </w:p>
        </w:tc>
        <w:tc>
          <w:tcPr>
            <w:tcW w:w="2646" w:type="dxa"/>
          </w:tcPr>
          <w:p w14:paraId="658481B9" w14:textId="77777777" w:rsidR="003C4D17" w:rsidRPr="00AB3230" w:rsidRDefault="003C4D17" w:rsidP="00F86BC8">
            <w:pPr>
              <w:rPr>
                <w:rFonts w:cs="Calibri"/>
                <w:lang w:val="nl-NL"/>
              </w:rPr>
            </w:pPr>
            <w:r w:rsidRPr="00AB3230">
              <w:rPr>
                <w:rFonts w:cs="Calibri"/>
                <w:lang w:val="nl-NL"/>
              </w:rPr>
              <w:t>Scheiding omgevingen</w:t>
            </w:r>
          </w:p>
        </w:tc>
        <w:tc>
          <w:tcPr>
            <w:tcW w:w="1559" w:type="dxa"/>
          </w:tcPr>
          <w:p w14:paraId="27717DAF" w14:textId="77777777" w:rsidR="003C4D17" w:rsidRPr="00AB3230" w:rsidRDefault="003C4D17" w:rsidP="00F86BC8">
            <w:pPr>
              <w:rPr>
                <w:rFonts w:cs="Calibri"/>
                <w:lang w:val="nl-NL"/>
              </w:rPr>
            </w:pPr>
            <w:r w:rsidRPr="00AB3230">
              <w:rPr>
                <w:rFonts w:cs="Calibri"/>
                <w:lang w:val="nl-NL"/>
              </w:rPr>
              <w:t>Alternatieve maatregel</w:t>
            </w:r>
          </w:p>
        </w:tc>
        <w:tc>
          <w:tcPr>
            <w:tcW w:w="2319" w:type="dxa"/>
          </w:tcPr>
          <w:p w14:paraId="47EF767E" w14:textId="77777777" w:rsidR="003C4D17" w:rsidRPr="00AB3230" w:rsidRDefault="003C4D17" w:rsidP="00F86BC8">
            <w:pPr>
              <w:rPr>
                <w:rFonts w:cs="Calibri"/>
                <w:lang w:val="nl-NL"/>
              </w:rPr>
            </w:pPr>
            <w:r w:rsidRPr="00AB3230">
              <w:rPr>
                <w:rFonts w:cs="Calibri"/>
                <w:lang w:val="nl-NL"/>
              </w:rPr>
              <w:t>Niveau 2</w:t>
            </w:r>
          </w:p>
        </w:tc>
      </w:tr>
      <w:tr w:rsidR="003C4D17" w:rsidRPr="00AB3230" w14:paraId="553D6C49" w14:textId="77777777" w:rsidTr="00F86BC8">
        <w:trPr>
          <w:gridAfter w:val="1"/>
          <w:wAfter w:w="23" w:type="dxa"/>
        </w:trPr>
        <w:tc>
          <w:tcPr>
            <w:tcW w:w="1943" w:type="dxa"/>
          </w:tcPr>
          <w:p w14:paraId="7D12D0BC" w14:textId="77777777" w:rsidR="003C4D17" w:rsidRPr="00AB3230" w:rsidRDefault="003C4D17" w:rsidP="00F86BC8">
            <w:pPr>
              <w:rPr>
                <w:rFonts w:cs="Calibri"/>
                <w:b/>
                <w:lang w:val="nl-NL"/>
              </w:rPr>
            </w:pPr>
          </w:p>
        </w:tc>
        <w:tc>
          <w:tcPr>
            <w:tcW w:w="2646" w:type="dxa"/>
          </w:tcPr>
          <w:p w14:paraId="55DEB9A7" w14:textId="77777777" w:rsidR="003C4D17" w:rsidRPr="00AB3230" w:rsidRDefault="003C4D17" w:rsidP="00F86BC8">
            <w:pPr>
              <w:rPr>
                <w:rFonts w:cs="Calibri"/>
                <w:lang w:val="nl-NL"/>
              </w:rPr>
            </w:pPr>
            <w:r w:rsidRPr="00AB3230">
              <w:rPr>
                <w:rFonts w:cs="Calibri"/>
                <w:lang w:val="nl-NL"/>
              </w:rPr>
              <w:t>Transport en fysieke opslag</w:t>
            </w:r>
          </w:p>
        </w:tc>
        <w:tc>
          <w:tcPr>
            <w:tcW w:w="1559" w:type="dxa"/>
          </w:tcPr>
          <w:p w14:paraId="5C851129" w14:textId="77777777" w:rsidR="003C4D17" w:rsidRPr="00AB3230" w:rsidRDefault="003C4D17" w:rsidP="00F86BC8">
            <w:pPr>
              <w:rPr>
                <w:rFonts w:cs="Calibri"/>
                <w:lang w:val="nl-NL"/>
              </w:rPr>
            </w:pPr>
            <w:r w:rsidRPr="00AB3230">
              <w:rPr>
                <w:rFonts w:cs="Calibri"/>
                <w:lang w:val="nl-NL"/>
              </w:rPr>
              <w:t>Voldaan</w:t>
            </w:r>
          </w:p>
        </w:tc>
        <w:tc>
          <w:tcPr>
            <w:tcW w:w="2319" w:type="dxa"/>
          </w:tcPr>
          <w:p w14:paraId="77F03565" w14:textId="77777777" w:rsidR="003C4D17" w:rsidRPr="00AB3230" w:rsidRDefault="003C4D17" w:rsidP="00F86BC8">
            <w:pPr>
              <w:rPr>
                <w:rFonts w:cs="Calibri"/>
                <w:lang w:val="nl-NL"/>
              </w:rPr>
            </w:pPr>
          </w:p>
        </w:tc>
      </w:tr>
      <w:tr w:rsidR="003C4D17" w:rsidRPr="00AB3230" w14:paraId="1A91B8E7" w14:textId="77777777" w:rsidTr="00F86BC8">
        <w:trPr>
          <w:gridAfter w:val="1"/>
          <w:wAfter w:w="23" w:type="dxa"/>
        </w:trPr>
        <w:tc>
          <w:tcPr>
            <w:tcW w:w="1943" w:type="dxa"/>
          </w:tcPr>
          <w:p w14:paraId="30700B74" w14:textId="77777777" w:rsidR="003C4D17" w:rsidRPr="00AB3230" w:rsidRDefault="003C4D17" w:rsidP="00F86BC8">
            <w:pPr>
              <w:rPr>
                <w:rFonts w:cs="Calibri"/>
                <w:b/>
                <w:lang w:val="nl-NL"/>
              </w:rPr>
            </w:pPr>
          </w:p>
        </w:tc>
        <w:tc>
          <w:tcPr>
            <w:tcW w:w="2646" w:type="dxa"/>
          </w:tcPr>
          <w:p w14:paraId="5574404C" w14:textId="77777777" w:rsidR="003C4D17" w:rsidRPr="00AB3230" w:rsidRDefault="003C4D17" w:rsidP="00F86BC8">
            <w:pPr>
              <w:rPr>
                <w:rFonts w:cs="Calibri"/>
                <w:lang w:val="nl-NL"/>
              </w:rPr>
            </w:pPr>
            <w:r w:rsidRPr="00AB3230">
              <w:rPr>
                <w:rFonts w:cs="Calibri"/>
                <w:lang w:val="nl-NL"/>
              </w:rPr>
              <w:t>Logging</w:t>
            </w:r>
          </w:p>
        </w:tc>
        <w:tc>
          <w:tcPr>
            <w:tcW w:w="1559" w:type="dxa"/>
          </w:tcPr>
          <w:p w14:paraId="67D397AC" w14:textId="77777777" w:rsidR="003C4D17" w:rsidRPr="00AB3230" w:rsidRDefault="003C4D17" w:rsidP="00F86BC8">
            <w:pPr>
              <w:rPr>
                <w:rFonts w:cs="Calibri"/>
                <w:lang w:val="nl-NL"/>
              </w:rPr>
            </w:pPr>
            <w:r w:rsidRPr="00AB3230">
              <w:rPr>
                <w:rFonts w:cs="Calibri"/>
                <w:lang w:val="nl-NL"/>
              </w:rPr>
              <w:t>Voldaan</w:t>
            </w:r>
          </w:p>
        </w:tc>
        <w:tc>
          <w:tcPr>
            <w:tcW w:w="2319" w:type="dxa"/>
          </w:tcPr>
          <w:p w14:paraId="3B6E8930" w14:textId="77777777" w:rsidR="003C4D17" w:rsidRPr="00AB3230" w:rsidRDefault="003C4D17" w:rsidP="00F86BC8">
            <w:pPr>
              <w:rPr>
                <w:rFonts w:cs="Calibri"/>
                <w:lang w:val="nl-NL"/>
              </w:rPr>
            </w:pPr>
          </w:p>
        </w:tc>
      </w:tr>
      <w:tr w:rsidR="003C4D17" w:rsidRPr="00AB3230" w14:paraId="65EE5FEC" w14:textId="77777777" w:rsidTr="00F86BC8">
        <w:trPr>
          <w:gridAfter w:val="1"/>
          <w:wAfter w:w="23" w:type="dxa"/>
        </w:trPr>
        <w:tc>
          <w:tcPr>
            <w:tcW w:w="1943" w:type="dxa"/>
          </w:tcPr>
          <w:p w14:paraId="636F2DD0" w14:textId="77777777" w:rsidR="003C4D17" w:rsidRPr="00AB3230" w:rsidRDefault="003C4D17" w:rsidP="00F86BC8">
            <w:pPr>
              <w:rPr>
                <w:rFonts w:cs="Calibri"/>
                <w:b/>
                <w:lang w:val="nl-NL"/>
              </w:rPr>
            </w:pPr>
          </w:p>
        </w:tc>
        <w:tc>
          <w:tcPr>
            <w:tcW w:w="2646" w:type="dxa"/>
          </w:tcPr>
          <w:p w14:paraId="3B3D71BC" w14:textId="77777777" w:rsidR="003C4D17" w:rsidRPr="00AB3230" w:rsidRDefault="003C4D17" w:rsidP="00F86BC8">
            <w:pPr>
              <w:rPr>
                <w:rFonts w:cs="Calibri"/>
                <w:lang w:val="nl-NL"/>
              </w:rPr>
            </w:pPr>
            <w:r w:rsidRPr="00AB3230">
              <w:rPr>
                <w:rFonts w:cs="Calibri"/>
                <w:lang w:val="nl-NL"/>
              </w:rPr>
              <w:t>Toetsing</w:t>
            </w:r>
          </w:p>
        </w:tc>
        <w:tc>
          <w:tcPr>
            <w:tcW w:w="1559" w:type="dxa"/>
          </w:tcPr>
          <w:p w14:paraId="3F4105B9" w14:textId="77777777" w:rsidR="003C4D17" w:rsidRPr="00AB3230" w:rsidRDefault="003C4D17" w:rsidP="00F86BC8">
            <w:pPr>
              <w:rPr>
                <w:rFonts w:cs="Calibri"/>
                <w:lang w:val="nl-NL"/>
              </w:rPr>
            </w:pPr>
            <w:r w:rsidRPr="00AB3230">
              <w:rPr>
                <w:rFonts w:cs="Calibri"/>
                <w:lang w:val="nl-NL"/>
              </w:rPr>
              <w:t>Voldaan</w:t>
            </w:r>
          </w:p>
        </w:tc>
        <w:tc>
          <w:tcPr>
            <w:tcW w:w="2319" w:type="dxa"/>
          </w:tcPr>
          <w:p w14:paraId="3C856E89" w14:textId="77777777" w:rsidR="003C4D17" w:rsidRPr="00AB3230" w:rsidRDefault="003C4D17" w:rsidP="00F86BC8">
            <w:pPr>
              <w:rPr>
                <w:rFonts w:cs="Calibri"/>
                <w:lang w:val="nl-NL"/>
              </w:rPr>
            </w:pPr>
          </w:p>
        </w:tc>
      </w:tr>
      <w:tr w:rsidR="003C4D17" w:rsidRPr="00AB3230" w14:paraId="4FB8A331" w14:textId="77777777" w:rsidTr="00F86BC8">
        <w:trPr>
          <w:gridAfter w:val="1"/>
          <w:wAfter w:w="23" w:type="dxa"/>
        </w:trPr>
        <w:tc>
          <w:tcPr>
            <w:tcW w:w="1943" w:type="dxa"/>
          </w:tcPr>
          <w:p w14:paraId="04E2DEFE" w14:textId="77777777" w:rsidR="003C4D17" w:rsidRPr="00AB3230" w:rsidRDefault="003C4D17" w:rsidP="00F86BC8">
            <w:pPr>
              <w:rPr>
                <w:rFonts w:cs="Calibri"/>
                <w:b/>
                <w:lang w:val="nl-NL"/>
              </w:rPr>
            </w:pPr>
          </w:p>
        </w:tc>
        <w:tc>
          <w:tcPr>
            <w:tcW w:w="2646" w:type="dxa"/>
          </w:tcPr>
          <w:p w14:paraId="0E916C3A" w14:textId="77777777" w:rsidR="003C4D17" w:rsidRPr="00AB3230" w:rsidRDefault="003C4D17" w:rsidP="00F86BC8">
            <w:pPr>
              <w:rPr>
                <w:rFonts w:cs="Calibri"/>
                <w:lang w:val="nl-NL"/>
              </w:rPr>
            </w:pPr>
            <w:r w:rsidRPr="00AB3230">
              <w:rPr>
                <w:rFonts w:cs="Calibri"/>
                <w:lang w:val="nl-NL"/>
              </w:rPr>
              <w:t>Actuele dreigingen</w:t>
            </w:r>
          </w:p>
        </w:tc>
        <w:tc>
          <w:tcPr>
            <w:tcW w:w="1559" w:type="dxa"/>
          </w:tcPr>
          <w:p w14:paraId="7BF19827" w14:textId="77777777" w:rsidR="003C4D17" w:rsidRPr="00AB3230" w:rsidRDefault="003C4D17" w:rsidP="00F86BC8">
            <w:pPr>
              <w:rPr>
                <w:rFonts w:cs="Calibri"/>
                <w:lang w:val="nl-NL"/>
              </w:rPr>
            </w:pPr>
            <w:r w:rsidRPr="00AB3230">
              <w:rPr>
                <w:rFonts w:cs="Calibri"/>
                <w:lang w:val="nl-NL"/>
              </w:rPr>
              <w:t>Voldaan</w:t>
            </w:r>
          </w:p>
        </w:tc>
        <w:tc>
          <w:tcPr>
            <w:tcW w:w="2319" w:type="dxa"/>
          </w:tcPr>
          <w:p w14:paraId="7E66FB03" w14:textId="77777777" w:rsidR="003C4D17" w:rsidRPr="00AB3230" w:rsidRDefault="003C4D17" w:rsidP="00F86BC8">
            <w:pPr>
              <w:rPr>
                <w:rFonts w:cs="Calibri"/>
                <w:lang w:val="nl-NL"/>
              </w:rPr>
            </w:pPr>
          </w:p>
        </w:tc>
      </w:tr>
    </w:tbl>
    <w:p w14:paraId="79596770" w14:textId="77777777" w:rsidR="003C4D17" w:rsidRPr="00AB3230" w:rsidRDefault="003C4D17" w:rsidP="003C4D17">
      <w:pPr>
        <w:rPr>
          <w:rFonts w:eastAsia="Calibri"/>
          <w:lang w:val="nl-NL"/>
        </w:rPr>
      </w:pPr>
    </w:p>
    <w:p w14:paraId="75E22F51" w14:textId="77777777" w:rsidR="003C4D17" w:rsidRPr="00AB3230" w:rsidRDefault="003C4D17" w:rsidP="003C4D17">
      <w:pPr>
        <w:keepNext/>
        <w:keepLines/>
        <w:numPr>
          <w:ilvl w:val="0"/>
          <w:numId w:val="19"/>
        </w:numPr>
        <w:spacing w:before="240" w:after="240"/>
        <w:outlineLvl w:val="2"/>
        <w:rPr>
          <w:rFonts w:ascii="Calibri Light" w:eastAsia="Times New Roman" w:hAnsi="Calibri Light"/>
          <w:color w:val="1F3763"/>
          <w:sz w:val="24"/>
          <w:szCs w:val="24"/>
          <w:lang w:val="nl-NL"/>
        </w:rPr>
      </w:pPr>
      <w:r w:rsidRPr="00AB3230">
        <w:rPr>
          <w:rFonts w:ascii="Calibri Light" w:eastAsia="Times New Roman" w:hAnsi="Calibri Light"/>
          <w:color w:val="1F3763"/>
          <w:sz w:val="24"/>
          <w:szCs w:val="24"/>
          <w:lang w:val="nl-NL"/>
        </w:rPr>
        <w:t>Omschrijving van de maatregelen om zwakke plekken te identificeren ten aanzien van de Verwerking van Persoonsgegevens in de systemen die worden ingezet voor het verlenen van diensten aan de Onderwijsinstelling.</w:t>
      </w:r>
    </w:p>
    <w:p w14:paraId="013E2B8B" w14:textId="77777777" w:rsidR="003C4D17" w:rsidRPr="00AB3230" w:rsidRDefault="003C4D17" w:rsidP="003C4D17">
      <w:pPr>
        <w:rPr>
          <w:rFonts w:eastAsia="Calibri"/>
          <w:lang w:val="nl-NL"/>
        </w:rPr>
      </w:pPr>
      <w:r w:rsidRPr="00AB3230">
        <w:rPr>
          <w:rFonts w:eastAsia="Calibri"/>
          <w:lang w:val="nl-NL"/>
        </w:rPr>
        <w:t xml:space="preserve">De systemen van Boom uitgevers Amsterdam worden gecontroleerd op veiligheid. Daarnaast voorziet het beveiligingsbeleid van Boom uitgevers Amsterdam in interne processen om kwetsbaarheden te identificeren. </w:t>
      </w:r>
    </w:p>
    <w:p w14:paraId="49192360" w14:textId="77777777" w:rsidR="003C4D17" w:rsidRPr="00AB3230" w:rsidRDefault="003C4D17" w:rsidP="003C4D17">
      <w:pPr>
        <w:keepNext/>
        <w:keepLines/>
        <w:spacing w:before="360" w:after="360"/>
        <w:ind w:left="-284"/>
        <w:outlineLvl w:val="1"/>
        <w:rPr>
          <w:rFonts w:ascii="Calibri Light" w:eastAsia="Times New Roman" w:hAnsi="Calibri Light"/>
          <w:color w:val="2F5496"/>
          <w:sz w:val="26"/>
          <w:szCs w:val="26"/>
          <w:lang w:val="nl-NL"/>
        </w:rPr>
      </w:pPr>
      <w:r w:rsidRPr="00AB3230">
        <w:rPr>
          <w:rFonts w:ascii="Calibri Light" w:eastAsia="Times New Roman" w:hAnsi="Calibri Light"/>
          <w:color w:val="2F5496"/>
          <w:sz w:val="26"/>
          <w:szCs w:val="26"/>
          <w:lang w:val="nl-NL"/>
        </w:rPr>
        <w:t>Rapportage</w:t>
      </w:r>
    </w:p>
    <w:p w14:paraId="646EF656" w14:textId="77777777" w:rsidR="003C4D17" w:rsidRPr="00AB3230" w:rsidRDefault="003C4D17" w:rsidP="003C4D17">
      <w:pPr>
        <w:rPr>
          <w:rFonts w:eastAsia="Calibri"/>
          <w:lang w:val="nl-NL"/>
        </w:rPr>
      </w:pPr>
      <w:r w:rsidRPr="00AB3230">
        <w:rPr>
          <w:rFonts w:eastAsia="Calibri"/>
          <w:lang w:val="nl-NL"/>
        </w:rPr>
        <w:t>Verwerker actualiseert deze informatie voortdurend en informeert gebruikers over wijzigingen in de getroffen maatregelen om persoonsgegevens te beschermen tegen misbruik via www.bua.nl.</w:t>
      </w:r>
    </w:p>
    <w:p w14:paraId="0FED2C18" w14:textId="77777777" w:rsidR="003C4D17" w:rsidRPr="00AB3230" w:rsidRDefault="003C4D17" w:rsidP="003C4D17">
      <w:pPr>
        <w:rPr>
          <w:rFonts w:eastAsia="Calibri"/>
          <w:lang w:val="nl-NL"/>
        </w:rPr>
      </w:pPr>
      <w:r w:rsidRPr="00AB3230">
        <w:rPr>
          <w:rFonts w:eastAsia="Calibri"/>
          <w:lang w:val="nl-NL"/>
        </w:rPr>
        <w:t>In het geval u beveiligingsrisico’s constateert, dan verzoeken wij u contact op te nemen met de helpdesk van Boom uitgevers Amsterdam via +31 (020) 520 01 20.</w:t>
      </w:r>
    </w:p>
    <w:p w14:paraId="18C148F2" w14:textId="77777777" w:rsidR="003C4D17" w:rsidRPr="00AB3230" w:rsidRDefault="003C4D17" w:rsidP="003C4D17">
      <w:pPr>
        <w:keepNext/>
        <w:keepLines/>
        <w:spacing w:before="360" w:after="360"/>
        <w:ind w:left="-284"/>
        <w:outlineLvl w:val="1"/>
        <w:rPr>
          <w:rFonts w:ascii="Calibri Light" w:eastAsia="Times New Roman" w:hAnsi="Calibri Light"/>
          <w:color w:val="2F5496"/>
          <w:sz w:val="26"/>
          <w:szCs w:val="26"/>
          <w:lang w:val="nl-NL"/>
        </w:rPr>
      </w:pPr>
      <w:r w:rsidRPr="00AB3230">
        <w:rPr>
          <w:rFonts w:ascii="Calibri Light" w:eastAsia="Times New Roman" w:hAnsi="Calibri Light"/>
          <w:color w:val="2F5496"/>
          <w:sz w:val="26"/>
          <w:szCs w:val="26"/>
          <w:lang w:val="nl-NL"/>
        </w:rPr>
        <w:t>Informeren over Datalekken en/of incidenten met betrekking tot beveiliging</w:t>
      </w:r>
    </w:p>
    <w:p w14:paraId="4A18368B" w14:textId="77777777" w:rsidR="003C4D17" w:rsidRPr="00AB3230" w:rsidRDefault="003C4D17" w:rsidP="003C4D17">
      <w:pPr>
        <w:numPr>
          <w:ilvl w:val="0"/>
          <w:numId w:val="21"/>
        </w:numPr>
        <w:spacing w:before="0" w:after="120" w:line="240" w:lineRule="auto"/>
        <w:rPr>
          <w:rFonts w:eastAsia="MS Mincho"/>
          <w:i/>
          <w:szCs w:val="24"/>
          <w:lang w:val="nl-NL" w:eastAsia="ja-JP"/>
        </w:rPr>
      </w:pPr>
      <w:r w:rsidRPr="00AB3230">
        <w:rPr>
          <w:rFonts w:eastAsia="MS Mincho"/>
          <w:i/>
          <w:szCs w:val="24"/>
          <w:lang w:val="nl-NL" w:eastAsia="ja-JP"/>
        </w:rPr>
        <w:t>De wijze waarop monitoring en identificatie van Datalekken plaatsvindt</w:t>
      </w:r>
    </w:p>
    <w:p w14:paraId="1DF1490A" w14:textId="77777777" w:rsidR="003C4D17" w:rsidRPr="00AB3230" w:rsidRDefault="003C4D17" w:rsidP="003C4D17">
      <w:pPr>
        <w:rPr>
          <w:rFonts w:eastAsia="Calibri"/>
          <w:lang w:val="nl-NL"/>
        </w:rPr>
      </w:pPr>
      <w:r w:rsidRPr="00AB3230">
        <w:rPr>
          <w:rFonts w:eastAsia="Calibri"/>
          <w:lang w:val="nl-NL"/>
        </w:rPr>
        <w:t>Boom uitgevers Amsterdam monitort 24/7 haar dienstverlening en heeft de in Bijlage 2 opgenomen maatregelen getroffen om ongeoorloofde of onrechtmatige toegang tot gegevens te voorkomen en te identificeren. Signalen die duiden op een Datalek worden beoordeeld door de security officer van Boom uitgevers Amsterdam, die analyseert of sprake kan zijn van een Datalek.</w:t>
      </w:r>
    </w:p>
    <w:p w14:paraId="4C8BD69B" w14:textId="77777777" w:rsidR="003C4D17" w:rsidRPr="00AB3230" w:rsidRDefault="003C4D17" w:rsidP="003C4D17">
      <w:pPr>
        <w:rPr>
          <w:rFonts w:eastAsia="Calibri"/>
          <w:lang w:val="nl-NL"/>
        </w:rPr>
      </w:pPr>
    </w:p>
    <w:p w14:paraId="2BB4C736" w14:textId="77777777" w:rsidR="003C4D17" w:rsidRPr="00AB3230" w:rsidRDefault="003C4D17" w:rsidP="003C4D17">
      <w:pPr>
        <w:numPr>
          <w:ilvl w:val="0"/>
          <w:numId w:val="21"/>
        </w:numPr>
        <w:spacing w:before="0" w:after="120" w:line="240" w:lineRule="auto"/>
        <w:rPr>
          <w:rFonts w:eastAsia="MS Mincho"/>
          <w:i/>
          <w:szCs w:val="24"/>
          <w:lang w:val="nl-NL" w:eastAsia="ja-JP"/>
        </w:rPr>
      </w:pPr>
      <w:r w:rsidRPr="00AB3230">
        <w:rPr>
          <w:rFonts w:eastAsia="MS Mincho"/>
          <w:i/>
          <w:szCs w:val="24"/>
          <w:lang w:val="nl-NL" w:eastAsia="ja-JP"/>
        </w:rPr>
        <w:t>De wijze waarop informatie wordt gedeeld:</w:t>
      </w:r>
    </w:p>
    <w:p w14:paraId="514B205B" w14:textId="77777777" w:rsidR="003C4D17" w:rsidRPr="00AB3230" w:rsidRDefault="003C4D17" w:rsidP="003C4D17">
      <w:pPr>
        <w:rPr>
          <w:rFonts w:eastAsia="Calibri"/>
          <w:lang w:val="nl-NL"/>
        </w:rPr>
      </w:pPr>
      <w:r w:rsidRPr="00AB3230">
        <w:rPr>
          <w:rFonts w:eastAsia="Calibri"/>
          <w:lang w:val="nl-NL"/>
        </w:rPr>
        <w:t xml:space="preserve">Wanneer zich een Datalek voordoet, wordt de verwerkersverantwoordelijke onderwijsinstelling door of namens Boom uitgevers Amsterdam in beginsel zonder onredelijke vertraging na vaststelling dat sprake is van een Datalek per e-mail geïnformeerd. Afhankelijk van de situatie, kan ook informatie worden gedeeld via onze website en officiële sociale media kanalen en/of officiële distributeurs en/of handelsagenten. </w:t>
      </w:r>
    </w:p>
    <w:p w14:paraId="4A2536AC" w14:textId="77777777" w:rsidR="003C4D17" w:rsidRDefault="003C4D17" w:rsidP="003C4D17">
      <w:pPr>
        <w:rPr>
          <w:rFonts w:eastAsia="Calibri"/>
          <w:lang w:val="nl-NL"/>
        </w:rPr>
      </w:pPr>
      <w:r w:rsidRPr="00AB3230">
        <w:rPr>
          <w:rFonts w:eastAsia="Calibri"/>
          <w:lang w:val="nl-NL"/>
        </w:rPr>
        <w:t>Voor vervolgacties of vragen kan telefonisch of per e-mail contact worden opgenomen met onze helpdesk via de in de Privacy Bijsluiter opgenomen gegevens.</w:t>
      </w:r>
    </w:p>
    <w:p w14:paraId="10AF48BE" w14:textId="77777777" w:rsidR="003C4D17" w:rsidRPr="00AB3230" w:rsidRDefault="003C4D17" w:rsidP="003C4D17">
      <w:pPr>
        <w:rPr>
          <w:rFonts w:eastAsia="Calibri"/>
          <w:lang w:val="nl-NL"/>
        </w:rPr>
      </w:pPr>
    </w:p>
    <w:p w14:paraId="2F8655D9" w14:textId="77777777" w:rsidR="003C4D17" w:rsidRPr="00AB3230" w:rsidRDefault="003C4D17" w:rsidP="003C4D17">
      <w:pPr>
        <w:numPr>
          <w:ilvl w:val="0"/>
          <w:numId w:val="21"/>
        </w:numPr>
        <w:spacing w:before="0" w:after="120" w:line="240" w:lineRule="auto"/>
        <w:rPr>
          <w:rFonts w:eastAsia="MS Mincho"/>
          <w:i/>
          <w:szCs w:val="24"/>
          <w:lang w:val="nl-NL" w:eastAsia="ja-JP"/>
        </w:rPr>
      </w:pPr>
      <w:r w:rsidRPr="00AB3230">
        <w:rPr>
          <w:rFonts w:eastAsia="MS Mincho"/>
          <w:i/>
          <w:szCs w:val="24"/>
          <w:lang w:val="nl-NL" w:eastAsia="ja-JP"/>
        </w:rPr>
        <w:t xml:space="preserve">Boom uitgevers Amsterdam deelt ten minste de volgende informatie wanneer zich een Datalek voordoet: </w:t>
      </w:r>
    </w:p>
    <w:p w14:paraId="4F9841D8" w14:textId="77777777" w:rsidR="003C4D17" w:rsidRPr="00AB3230" w:rsidRDefault="003C4D17" w:rsidP="003C4D17">
      <w:pPr>
        <w:numPr>
          <w:ilvl w:val="0"/>
          <w:numId w:val="22"/>
        </w:numPr>
        <w:spacing w:before="0" w:after="120" w:line="240" w:lineRule="auto"/>
        <w:rPr>
          <w:rFonts w:eastAsia="MS Mincho"/>
          <w:szCs w:val="24"/>
          <w:lang w:val="nl-NL" w:eastAsia="ja-JP"/>
        </w:rPr>
      </w:pPr>
      <w:r w:rsidRPr="00AB3230">
        <w:rPr>
          <w:rFonts w:eastAsia="MS Mincho"/>
          <w:szCs w:val="24"/>
          <w:lang w:val="nl-NL" w:eastAsia="ja-JP"/>
        </w:rPr>
        <w:t>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w:t>
      </w:r>
    </w:p>
    <w:p w14:paraId="1F22D768" w14:textId="77777777" w:rsidR="003C4D17" w:rsidRPr="00AB3230" w:rsidRDefault="003C4D17" w:rsidP="003C4D17">
      <w:pPr>
        <w:numPr>
          <w:ilvl w:val="0"/>
          <w:numId w:val="22"/>
        </w:numPr>
        <w:spacing w:before="0" w:after="120" w:line="240" w:lineRule="auto"/>
        <w:rPr>
          <w:rFonts w:eastAsia="MS Mincho"/>
          <w:szCs w:val="24"/>
          <w:lang w:val="nl-NL" w:eastAsia="ja-JP"/>
        </w:rPr>
      </w:pPr>
      <w:r w:rsidRPr="00AB3230">
        <w:rPr>
          <w:rFonts w:eastAsia="MS Mincho"/>
          <w:szCs w:val="24"/>
          <w:lang w:val="nl-NL" w:eastAsia="ja-JP"/>
        </w:rPr>
        <w:t>De oorzaak van het beveiligingsincident;</w:t>
      </w:r>
    </w:p>
    <w:p w14:paraId="16AE85C1" w14:textId="77777777" w:rsidR="003C4D17" w:rsidRPr="00AB3230" w:rsidRDefault="003C4D17" w:rsidP="003C4D17">
      <w:pPr>
        <w:numPr>
          <w:ilvl w:val="0"/>
          <w:numId w:val="22"/>
        </w:numPr>
        <w:spacing w:before="0" w:after="120" w:line="240" w:lineRule="auto"/>
        <w:rPr>
          <w:rFonts w:eastAsia="MS Mincho"/>
          <w:szCs w:val="24"/>
          <w:lang w:val="nl-NL" w:eastAsia="ja-JP"/>
        </w:rPr>
      </w:pPr>
      <w:r w:rsidRPr="00AB3230">
        <w:rPr>
          <w:rFonts w:eastAsia="MS Mincho"/>
          <w:szCs w:val="24"/>
          <w:lang w:val="nl-NL" w:eastAsia="ja-JP"/>
        </w:rPr>
        <w:t>De maatregelen die getroffen zijn om eventuele/verdere schade te voorkomen;</w:t>
      </w:r>
    </w:p>
    <w:p w14:paraId="404DEFD7" w14:textId="77777777" w:rsidR="003C4D17" w:rsidRPr="00AB3230" w:rsidRDefault="003C4D17" w:rsidP="003C4D17">
      <w:pPr>
        <w:numPr>
          <w:ilvl w:val="0"/>
          <w:numId w:val="22"/>
        </w:numPr>
        <w:spacing w:before="0" w:after="120" w:line="240" w:lineRule="auto"/>
        <w:rPr>
          <w:rFonts w:eastAsia="MS Mincho"/>
          <w:szCs w:val="24"/>
          <w:lang w:val="nl-NL" w:eastAsia="ja-JP"/>
        </w:rPr>
      </w:pPr>
      <w:r w:rsidRPr="00AB3230">
        <w:rPr>
          <w:rFonts w:eastAsia="MS Mincho"/>
          <w:szCs w:val="24"/>
          <w:lang w:val="nl-NL" w:eastAsia="ja-JP"/>
        </w:rPr>
        <w:t>Benoemen van betrokkenen die gevolgen kunnen ondervinden van het incident, en de mate waarin;</w:t>
      </w:r>
    </w:p>
    <w:p w14:paraId="08F6E3D3" w14:textId="77777777" w:rsidR="003C4D17" w:rsidRPr="00AB3230" w:rsidRDefault="003C4D17" w:rsidP="003C4D17">
      <w:pPr>
        <w:numPr>
          <w:ilvl w:val="0"/>
          <w:numId w:val="22"/>
        </w:numPr>
        <w:spacing w:before="0" w:after="120" w:line="240" w:lineRule="auto"/>
        <w:rPr>
          <w:rFonts w:eastAsia="MS Mincho"/>
          <w:szCs w:val="24"/>
          <w:lang w:val="nl-NL" w:eastAsia="ja-JP"/>
        </w:rPr>
      </w:pPr>
      <w:r w:rsidRPr="00AB3230">
        <w:rPr>
          <w:rFonts w:eastAsia="MS Mincho"/>
          <w:szCs w:val="24"/>
          <w:lang w:val="nl-NL" w:eastAsia="ja-JP"/>
        </w:rPr>
        <w:t>De omvang van de groep betrokkenen;</w:t>
      </w:r>
    </w:p>
    <w:p w14:paraId="028ECB88" w14:textId="77777777" w:rsidR="003C4D17" w:rsidRPr="00AB3230" w:rsidRDefault="003C4D17" w:rsidP="003C4D17">
      <w:pPr>
        <w:numPr>
          <w:ilvl w:val="0"/>
          <w:numId w:val="22"/>
        </w:numPr>
        <w:spacing w:before="0" w:after="120" w:line="240" w:lineRule="auto"/>
        <w:rPr>
          <w:rFonts w:eastAsia="MS Mincho"/>
          <w:szCs w:val="24"/>
          <w:lang w:val="nl-NL" w:eastAsia="ja-JP"/>
        </w:rPr>
      </w:pPr>
      <w:r w:rsidRPr="00AB3230">
        <w:rPr>
          <w:rFonts w:eastAsia="MS Mincho"/>
          <w:szCs w:val="24"/>
          <w:lang w:val="nl-NL" w:eastAsia="ja-JP"/>
        </w:rPr>
        <w:t xml:space="preserve">Het soort gegevens dat door het incident wordt getroffen (met name bijzondere gegevens, of gegevens van gevoelige aard, waaronder toegangs- of identificatiegegevens, financiële gegevens of leerprestaties). </w:t>
      </w:r>
    </w:p>
    <w:p w14:paraId="3B22C486" w14:textId="77777777" w:rsidR="003C4D17" w:rsidRPr="00AB3230" w:rsidRDefault="003C4D17" w:rsidP="003C4D17">
      <w:pPr>
        <w:rPr>
          <w:rFonts w:eastAsia="Calibri"/>
          <w:lang w:val="nl-NL"/>
        </w:rPr>
      </w:pPr>
      <w:r w:rsidRPr="00AB3230">
        <w:rPr>
          <w:rFonts w:eastAsia="Calibri"/>
          <w:lang w:val="nl-NL"/>
        </w:rPr>
        <w:t>Indien een concrete situatie zich daartoe leent, dan kan Boom uitgevers Amsterdam een (eerste) melding van een Datalek doen aan de Autoriteit Persoonsgegevens. De Onderwijsinstelling wordt hierover geïnformeerd en blijft ook in dit geval eindverantwoordelijk voor de melding.</w:t>
      </w:r>
    </w:p>
    <w:p w14:paraId="3FDA114A" w14:textId="77777777" w:rsidR="003C4D17" w:rsidRPr="00AB3230" w:rsidRDefault="003C4D17" w:rsidP="003C4D17">
      <w:pPr>
        <w:keepNext/>
        <w:keepLines/>
        <w:spacing w:before="360" w:after="360"/>
        <w:ind w:left="-284"/>
        <w:outlineLvl w:val="1"/>
        <w:rPr>
          <w:rFonts w:ascii="Calibri Light" w:eastAsia="Times New Roman" w:hAnsi="Calibri Light"/>
          <w:color w:val="2F5496"/>
          <w:sz w:val="26"/>
          <w:szCs w:val="26"/>
          <w:lang w:val="nl-NL"/>
        </w:rPr>
      </w:pPr>
      <w:r w:rsidRPr="00AB3230">
        <w:rPr>
          <w:rFonts w:ascii="Calibri Light" w:eastAsia="Times New Roman" w:hAnsi="Calibri Light"/>
          <w:color w:val="2F5496"/>
          <w:sz w:val="26"/>
          <w:szCs w:val="26"/>
          <w:lang w:val="nl-NL"/>
        </w:rPr>
        <w:t>Versie</w:t>
      </w:r>
    </w:p>
    <w:p w14:paraId="2BD60EBD" w14:textId="77777777" w:rsidR="003C4D17" w:rsidRPr="00AB3230" w:rsidRDefault="003C4D17" w:rsidP="003C4D17">
      <w:pPr>
        <w:rPr>
          <w:rFonts w:eastAsia="Calibri"/>
          <w:lang w:val="nl-NL"/>
        </w:rPr>
      </w:pPr>
      <w:r w:rsidRPr="00AB3230">
        <w:rPr>
          <w:rFonts w:eastAsia="Calibri"/>
          <w:lang w:val="nl-NL"/>
        </w:rPr>
        <w:t xml:space="preserve">Deze bijlage is voor het laatst bijgewerkt op </w:t>
      </w:r>
      <w:r>
        <w:rPr>
          <w:rFonts w:eastAsia="Calibri"/>
          <w:lang w:val="nl-NL"/>
        </w:rPr>
        <w:t>18 november 2020</w:t>
      </w:r>
      <w:r w:rsidRPr="00AB3230">
        <w:rPr>
          <w:rFonts w:eastAsia="Calibri"/>
          <w:lang w:val="nl-NL"/>
        </w:rPr>
        <w:t>.</w:t>
      </w:r>
    </w:p>
    <w:p w14:paraId="4E002DBE" w14:textId="77777777" w:rsidR="003C4D17" w:rsidRPr="00AB3230" w:rsidRDefault="003C4D17" w:rsidP="003C4D17">
      <w:pPr>
        <w:rPr>
          <w:rFonts w:eastAsia="Calibri"/>
          <w:lang w:val="nl-NL"/>
        </w:rPr>
      </w:pPr>
    </w:p>
    <w:p w14:paraId="77E7BDFE" w14:textId="77777777" w:rsidR="003C4D17" w:rsidRDefault="003C4D17" w:rsidP="003C4D17">
      <w:pPr>
        <w:spacing w:beforeLines="40" w:before="96" w:afterLines="20" w:after="48"/>
        <w:ind w:right="-144"/>
        <w:rPr>
          <w:rFonts w:eastAsia="Calibri"/>
          <w:i/>
          <w:lang w:val="nl-NL"/>
        </w:rPr>
      </w:pPr>
      <w:r w:rsidRPr="00AB3230">
        <w:rPr>
          <w:rFonts w:eastAsia="Calibri"/>
          <w:i/>
          <w:lang w:val="nl-NL"/>
        </w:rPr>
        <w:t xml:space="preserve">Deze privacy bijsluiter maakt onderdeel uit van de afspraken die zijn gemaakt in het Convenant Digitale Onderwijsmiddelen en Privacy 3.0, een initiatief van de PO-Raad, VO-raad, MBO Raad, de verschillende betrokken ketenpartijen (GEU, KBB-e en VDOD) en het ministerie van Onderwijs, Cultuur en Wetenschap. Meer informatie hierover vindt u hier: </w:t>
      </w:r>
      <w:hyperlink r:id="rId19" w:history="1">
        <w:r w:rsidRPr="00AB3230">
          <w:rPr>
            <w:rFonts w:eastAsia="Calibri"/>
            <w:i/>
            <w:color w:val="0563C1"/>
            <w:u w:val="single"/>
            <w:lang w:val="nl-NL"/>
          </w:rPr>
          <w:t>http://www.privacyconvenant.nl</w:t>
        </w:r>
      </w:hyperlink>
      <w:r w:rsidRPr="00AB3230">
        <w:rPr>
          <w:rFonts w:eastAsia="Calibri"/>
          <w:i/>
          <w:lang w:val="nl-NL"/>
        </w:rPr>
        <w:t>.</w:t>
      </w:r>
    </w:p>
    <w:p w14:paraId="24162AE6" w14:textId="77777777" w:rsidR="003C4D17" w:rsidRPr="00BD6E01" w:rsidRDefault="003C4D17" w:rsidP="003C4D17">
      <w:pPr>
        <w:rPr>
          <w:lang w:val="nl-NL"/>
        </w:rPr>
      </w:pPr>
    </w:p>
    <w:sectPr w:rsidR="003C4D17" w:rsidRPr="00BD6E01" w:rsidSect="00425B37">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C1524" w14:textId="77777777" w:rsidR="005E76CF" w:rsidRDefault="005E76CF" w:rsidP="00C436BA">
      <w:pPr>
        <w:spacing w:before="0" w:line="240" w:lineRule="auto"/>
      </w:pPr>
      <w:r>
        <w:separator/>
      </w:r>
    </w:p>
  </w:endnote>
  <w:endnote w:type="continuationSeparator" w:id="0">
    <w:p w14:paraId="76489AEE" w14:textId="77777777" w:rsidR="005E76CF" w:rsidRDefault="005E76CF" w:rsidP="00C436B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B60CF" w14:textId="77777777" w:rsidR="005E76CF" w:rsidRDefault="005E76CF" w:rsidP="00C436BA">
      <w:pPr>
        <w:spacing w:before="0" w:line="240" w:lineRule="auto"/>
      </w:pPr>
      <w:r>
        <w:separator/>
      </w:r>
    </w:p>
  </w:footnote>
  <w:footnote w:type="continuationSeparator" w:id="0">
    <w:p w14:paraId="2CF5AAFF" w14:textId="77777777" w:rsidR="005E76CF" w:rsidRDefault="005E76CF" w:rsidP="00C436B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10385" w14:textId="77777777" w:rsidR="005332E4" w:rsidRPr="00C436BA" w:rsidRDefault="005332E4" w:rsidP="00C436BA">
    <w:pPr>
      <w:pStyle w:val="Header"/>
      <w:jc w:val="righ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443B"/>
    <w:multiLevelType w:val="hybridMultilevel"/>
    <w:tmpl w:val="CE76FA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56946D8"/>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A93B15"/>
    <w:multiLevelType w:val="hybridMultilevel"/>
    <w:tmpl w:val="8EC6CB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885105"/>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64217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3D2C82"/>
    <w:multiLevelType w:val="hybridMultilevel"/>
    <w:tmpl w:val="888286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C940E6E"/>
    <w:multiLevelType w:val="hybridMultilevel"/>
    <w:tmpl w:val="194858D8"/>
    <w:lvl w:ilvl="0" w:tplc="04130013">
      <w:start w:val="1"/>
      <w:numFmt w:val="upperRoman"/>
      <w:lvlText w:val="%1."/>
      <w:lvlJc w:val="righ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F302421"/>
    <w:multiLevelType w:val="hybridMultilevel"/>
    <w:tmpl w:val="64F47E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9880140"/>
    <w:multiLevelType w:val="hybridMultilevel"/>
    <w:tmpl w:val="6B0C2F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C3F3B8E"/>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1827979"/>
    <w:multiLevelType w:val="hybridMultilevel"/>
    <w:tmpl w:val="BDB09E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23A11DF"/>
    <w:multiLevelType w:val="hybridMultilevel"/>
    <w:tmpl w:val="88128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4C11FC7"/>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5" w15:restartNumberingAfterBreak="0">
    <w:nsid w:val="359B469C"/>
    <w:multiLevelType w:val="hybridMultilevel"/>
    <w:tmpl w:val="D29A1D9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A8E2828"/>
    <w:multiLevelType w:val="hybridMultilevel"/>
    <w:tmpl w:val="F3EC6962"/>
    <w:lvl w:ilvl="0" w:tplc="0413000F">
      <w:start w:val="1"/>
      <w:numFmt w:val="decimal"/>
      <w:lvlText w:val="%1."/>
      <w:lvlJc w:val="left"/>
      <w:pPr>
        <w:ind w:left="720" w:hanging="360"/>
      </w:pPr>
    </w:lvl>
    <w:lvl w:ilvl="1" w:tplc="2CA63606">
      <w:numFmt w:val="bullet"/>
      <w:lvlText w:val="•"/>
      <w:lvlJc w:val="left"/>
      <w:pPr>
        <w:ind w:left="1788" w:hanging="708"/>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6D5121"/>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01F2096"/>
    <w:multiLevelType w:val="hybridMultilevel"/>
    <w:tmpl w:val="8D6E27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A414C5"/>
    <w:multiLevelType w:val="hybridMultilevel"/>
    <w:tmpl w:val="05C46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AE3F58"/>
    <w:multiLevelType w:val="hybridMultilevel"/>
    <w:tmpl w:val="37EA759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2E60351"/>
    <w:multiLevelType w:val="hybridMultilevel"/>
    <w:tmpl w:val="D9F4E4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3BB6371"/>
    <w:multiLevelType w:val="hybridMultilevel"/>
    <w:tmpl w:val="645216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6524F67"/>
    <w:multiLevelType w:val="hybridMultilevel"/>
    <w:tmpl w:val="9F529334"/>
    <w:lvl w:ilvl="0" w:tplc="57A6D2A8">
      <w:numFmt w:val="bullet"/>
      <w:lvlText w:val="-"/>
      <w:lvlJc w:val="left"/>
      <w:pPr>
        <w:ind w:left="1440" w:hanging="360"/>
      </w:pPr>
      <w:rPr>
        <w:rFonts w:ascii="Calibri" w:eastAsia="Calibr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56F12E54"/>
    <w:multiLevelType w:val="hybridMultilevel"/>
    <w:tmpl w:val="FD52C1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8D07712"/>
    <w:multiLevelType w:val="hybridMultilevel"/>
    <w:tmpl w:val="8B2ECE3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7F27B6"/>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9E738E4"/>
    <w:multiLevelType w:val="hybridMultilevel"/>
    <w:tmpl w:val="638426BE"/>
    <w:lvl w:ilvl="0" w:tplc="DC2CFF4A">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975A11"/>
    <w:multiLevelType w:val="hybridMultilevel"/>
    <w:tmpl w:val="2F646F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EE42465"/>
    <w:multiLevelType w:val="hybridMultilevel"/>
    <w:tmpl w:val="1952BBB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2" w15:restartNumberingAfterBreak="0">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205258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3C9747A"/>
    <w:multiLevelType w:val="hybridMultilevel"/>
    <w:tmpl w:val="9DBE04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6D4331"/>
    <w:multiLevelType w:val="hybridMultilevel"/>
    <w:tmpl w:val="EBA4B980"/>
    <w:lvl w:ilvl="0" w:tplc="3D3E065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DDA2143"/>
    <w:multiLevelType w:val="hybridMultilevel"/>
    <w:tmpl w:val="42147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25D319F"/>
    <w:multiLevelType w:val="hybridMultilevel"/>
    <w:tmpl w:val="A942F4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739435A4"/>
    <w:multiLevelType w:val="hybridMultilevel"/>
    <w:tmpl w:val="3B4057B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4163D22"/>
    <w:multiLevelType w:val="hybridMultilevel"/>
    <w:tmpl w:val="18BEB5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74E71EA9"/>
    <w:multiLevelType w:val="hybridMultilevel"/>
    <w:tmpl w:val="E8F003E8"/>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42" w15:restartNumberingAfterBreak="0">
    <w:nsid w:val="77CA53D0"/>
    <w:multiLevelType w:val="hybridMultilevel"/>
    <w:tmpl w:val="48C8B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A0439CE"/>
    <w:multiLevelType w:val="hybridMultilevel"/>
    <w:tmpl w:val="BD6442F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D447553"/>
    <w:multiLevelType w:val="hybridMultilevel"/>
    <w:tmpl w:val="83CA42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DC53E7C"/>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22"/>
  </w:num>
  <w:num w:numId="7">
    <w:abstractNumId w:val="42"/>
  </w:num>
  <w:num w:numId="8">
    <w:abstractNumId w:val="38"/>
  </w:num>
  <w:num w:numId="9">
    <w:abstractNumId w:val="34"/>
  </w:num>
  <w:num w:numId="10">
    <w:abstractNumId w:val="20"/>
  </w:num>
  <w:num w:numId="11">
    <w:abstractNumId w:val="40"/>
  </w:num>
  <w:num w:numId="12">
    <w:abstractNumId w:val="21"/>
  </w:num>
  <w:num w:numId="13">
    <w:abstractNumId w:val="12"/>
  </w:num>
  <w:num w:numId="14">
    <w:abstractNumId w:val="28"/>
  </w:num>
  <w:num w:numId="15">
    <w:abstractNumId w:val="2"/>
  </w:num>
  <w:num w:numId="16">
    <w:abstractNumId w:val="7"/>
  </w:num>
  <w:num w:numId="17">
    <w:abstractNumId w:val="41"/>
  </w:num>
  <w:num w:numId="18">
    <w:abstractNumId w:val="37"/>
  </w:num>
  <w:num w:numId="19">
    <w:abstractNumId w:val="8"/>
  </w:num>
  <w:num w:numId="20">
    <w:abstractNumId w:val="44"/>
  </w:num>
  <w:num w:numId="21">
    <w:abstractNumId w:val="29"/>
  </w:num>
  <w:num w:numId="22">
    <w:abstractNumId w:val="36"/>
  </w:num>
  <w:num w:numId="23">
    <w:abstractNumId w:val="13"/>
  </w:num>
  <w:num w:numId="24">
    <w:abstractNumId w:val="19"/>
  </w:num>
  <w:num w:numId="25">
    <w:abstractNumId w:val="9"/>
  </w:num>
  <w:num w:numId="26">
    <w:abstractNumId w:val="39"/>
  </w:num>
  <w:num w:numId="27">
    <w:abstractNumId w:val="25"/>
  </w:num>
  <w:num w:numId="28">
    <w:abstractNumId w:val="1"/>
  </w:num>
  <w:num w:numId="29">
    <w:abstractNumId w:val="32"/>
  </w:num>
  <w:num w:numId="30">
    <w:abstractNumId w:val="17"/>
  </w:num>
  <w:num w:numId="31">
    <w:abstractNumId w:val="35"/>
  </w:num>
  <w:num w:numId="32">
    <w:abstractNumId w:val="27"/>
  </w:num>
  <w:num w:numId="33">
    <w:abstractNumId w:val="33"/>
  </w:num>
  <w:num w:numId="34">
    <w:abstractNumId w:val="16"/>
  </w:num>
  <w:num w:numId="35">
    <w:abstractNumId w:val="5"/>
  </w:num>
  <w:num w:numId="36">
    <w:abstractNumId w:val="6"/>
  </w:num>
  <w:num w:numId="37">
    <w:abstractNumId w:val="18"/>
  </w:num>
  <w:num w:numId="38">
    <w:abstractNumId w:val="11"/>
  </w:num>
  <w:num w:numId="39">
    <w:abstractNumId w:val="3"/>
  </w:num>
  <w:num w:numId="40">
    <w:abstractNumId w:val="15"/>
  </w:num>
  <w:num w:numId="41">
    <w:abstractNumId w:val="31"/>
  </w:num>
  <w:num w:numId="42">
    <w:abstractNumId w:val="30"/>
  </w:num>
  <w:num w:numId="43">
    <w:abstractNumId w:val="26"/>
  </w:num>
  <w:num w:numId="44">
    <w:abstractNumId w:val="43"/>
  </w:num>
  <w:num w:numId="45">
    <w:abstractNumId w:val="45"/>
  </w:num>
  <w:num w:numId="46">
    <w:abstractNumId w:val="2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4E"/>
    <w:rsid w:val="00020BF5"/>
    <w:rsid w:val="00034127"/>
    <w:rsid w:val="000460A4"/>
    <w:rsid w:val="000533C7"/>
    <w:rsid w:val="00086883"/>
    <w:rsid w:val="000A7AC8"/>
    <w:rsid w:val="000B0DF4"/>
    <w:rsid w:val="000B2AD2"/>
    <w:rsid w:val="000D1793"/>
    <w:rsid w:val="000D5623"/>
    <w:rsid w:val="000E61ED"/>
    <w:rsid w:val="00107058"/>
    <w:rsid w:val="001255A4"/>
    <w:rsid w:val="00131ADB"/>
    <w:rsid w:val="001325B9"/>
    <w:rsid w:val="00155F6D"/>
    <w:rsid w:val="001651B5"/>
    <w:rsid w:val="001C3B02"/>
    <w:rsid w:val="001D6624"/>
    <w:rsid w:val="001F3CFB"/>
    <w:rsid w:val="00204C32"/>
    <w:rsid w:val="002151BA"/>
    <w:rsid w:val="00221BEB"/>
    <w:rsid w:val="00223A82"/>
    <w:rsid w:val="00240B5B"/>
    <w:rsid w:val="00245A3C"/>
    <w:rsid w:val="002674FF"/>
    <w:rsid w:val="002736D4"/>
    <w:rsid w:val="00296FB1"/>
    <w:rsid w:val="00297D93"/>
    <w:rsid w:val="002D0827"/>
    <w:rsid w:val="002F342B"/>
    <w:rsid w:val="003018A5"/>
    <w:rsid w:val="00337D71"/>
    <w:rsid w:val="0036092E"/>
    <w:rsid w:val="0036264F"/>
    <w:rsid w:val="00367E58"/>
    <w:rsid w:val="003700BA"/>
    <w:rsid w:val="0037402E"/>
    <w:rsid w:val="00386586"/>
    <w:rsid w:val="00395469"/>
    <w:rsid w:val="003A2156"/>
    <w:rsid w:val="003B3D59"/>
    <w:rsid w:val="003C4D17"/>
    <w:rsid w:val="003C60B1"/>
    <w:rsid w:val="003E0A14"/>
    <w:rsid w:val="003E54DC"/>
    <w:rsid w:val="0040638D"/>
    <w:rsid w:val="00413F2E"/>
    <w:rsid w:val="00425B37"/>
    <w:rsid w:val="00431C1E"/>
    <w:rsid w:val="0043222C"/>
    <w:rsid w:val="00467098"/>
    <w:rsid w:val="004814B0"/>
    <w:rsid w:val="00482EA5"/>
    <w:rsid w:val="004835A1"/>
    <w:rsid w:val="004906F5"/>
    <w:rsid w:val="0049313C"/>
    <w:rsid w:val="00497051"/>
    <w:rsid w:val="004C2278"/>
    <w:rsid w:val="004E159C"/>
    <w:rsid w:val="004F24B2"/>
    <w:rsid w:val="004F7EA9"/>
    <w:rsid w:val="005030D7"/>
    <w:rsid w:val="0051462E"/>
    <w:rsid w:val="005332E4"/>
    <w:rsid w:val="0056633F"/>
    <w:rsid w:val="0059342C"/>
    <w:rsid w:val="00595036"/>
    <w:rsid w:val="00596689"/>
    <w:rsid w:val="005B1804"/>
    <w:rsid w:val="005C726E"/>
    <w:rsid w:val="005D23C6"/>
    <w:rsid w:val="005E76CF"/>
    <w:rsid w:val="005F68C0"/>
    <w:rsid w:val="00631B0D"/>
    <w:rsid w:val="00634D5E"/>
    <w:rsid w:val="00655C0D"/>
    <w:rsid w:val="006622B5"/>
    <w:rsid w:val="006713A4"/>
    <w:rsid w:val="00692DE1"/>
    <w:rsid w:val="006E27D6"/>
    <w:rsid w:val="006E5E5D"/>
    <w:rsid w:val="006F4F7A"/>
    <w:rsid w:val="0070226C"/>
    <w:rsid w:val="0070557B"/>
    <w:rsid w:val="00715077"/>
    <w:rsid w:val="0074009F"/>
    <w:rsid w:val="007434B5"/>
    <w:rsid w:val="007500E8"/>
    <w:rsid w:val="0075157D"/>
    <w:rsid w:val="00757600"/>
    <w:rsid w:val="00772550"/>
    <w:rsid w:val="007A736F"/>
    <w:rsid w:val="007B134E"/>
    <w:rsid w:val="007C1CAD"/>
    <w:rsid w:val="007D499A"/>
    <w:rsid w:val="007F1014"/>
    <w:rsid w:val="007F447C"/>
    <w:rsid w:val="007F6C10"/>
    <w:rsid w:val="00817597"/>
    <w:rsid w:val="00837D86"/>
    <w:rsid w:val="00846DB2"/>
    <w:rsid w:val="00855A5D"/>
    <w:rsid w:val="00856331"/>
    <w:rsid w:val="00861F8E"/>
    <w:rsid w:val="00875831"/>
    <w:rsid w:val="008A74A2"/>
    <w:rsid w:val="008D3C84"/>
    <w:rsid w:val="008D488C"/>
    <w:rsid w:val="008D4DF6"/>
    <w:rsid w:val="008F0BCD"/>
    <w:rsid w:val="008F1BED"/>
    <w:rsid w:val="00903B80"/>
    <w:rsid w:val="00912FF4"/>
    <w:rsid w:val="00917844"/>
    <w:rsid w:val="00927E90"/>
    <w:rsid w:val="0094563F"/>
    <w:rsid w:val="00951BC5"/>
    <w:rsid w:val="0095677B"/>
    <w:rsid w:val="009720E2"/>
    <w:rsid w:val="009727B4"/>
    <w:rsid w:val="00991014"/>
    <w:rsid w:val="0099150E"/>
    <w:rsid w:val="009A6929"/>
    <w:rsid w:val="00A16EA1"/>
    <w:rsid w:val="00A90FA2"/>
    <w:rsid w:val="00AA7110"/>
    <w:rsid w:val="00AB3C06"/>
    <w:rsid w:val="00B03BC0"/>
    <w:rsid w:val="00B15B1F"/>
    <w:rsid w:val="00B36E2F"/>
    <w:rsid w:val="00B80EAF"/>
    <w:rsid w:val="00B83615"/>
    <w:rsid w:val="00B85D03"/>
    <w:rsid w:val="00B97AB7"/>
    <w:rsid w:val="00BC5E81"/>
    <w:rsid w:val="00BD6E01"/>
    <w:rsid w:val="00C11278"/>
    <w:rsid w:val="00C173E3"/>
    <w:rsid w:val="00C32C6B"/>
    <w:rsid w:val="00C436BA"/>
    <w:rsid w:val="00C44029"/>
    <w:rsid w:val="00C52542"/>
    <w:rsid w:val="00C8227E"/>
    <w:rsid w:val="00C9533C"/>
    <w:rsid w:val="00CA11E9"/>
    <w:rsid w:val="00D06090"/>
    <w:rsid w:val="00D2054F"/>
    <w:rsid w:val="00D3784E"/>
    <w:rsid w:val="00D4704C"/>
    <w:rsid w:val="00D548EC"/>
    <w:rsid w:val="00D56AC3"/>
    <w:rsid w:val="00D733A2"/>
    <w:rsid w:val="00D80E84"/>
    <w:rsid w:val="00DE612E"/>
    <w:rsid w:val="00DE784F"/>
    <w:rsid w:val="00DF07D1"/>
    <w:rsid w:val="00DF0B93"/>
    <w:rsid w:val="00E0002C"/>
    <w:rsid w:val="00E11E41"/>
    <w:rsid w:val="00E64689"/>
    <w:rsid w:val="00E91B57"/>
    <w:rsid w:val="00E95A48"/>
    <w:rsid w:val="00EA02DB"/>
    <w:rsid w:val="00EA326A"/>
    <w:rsid w:val="00EA4D6A"/>
    <w:rsid w:val="00EC65A8"/>
    <w:rsid w:val="00EF1CDB"/>
    <w:rsid w:val="00F036AB"/>
    <w:rsid w:val="00F04F97"/>
    <w:rsid w:val="00F21189"/>
    <w:rsid w:val="00F70FD4"/>
    <w:rsid w:val="00F72F5D"/>
    <w:rsid w:val="00F814DC"/>
    <w:rsid w:val="00F929FF"/>
    <w:rsid w:val="00FE0D88"/>
    <w:rsid w:val="00FF3F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F62A"/>
  <w15:docId w15:val="{A0502DD9-CC1D-4ECE-A60D-AE443CE5A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Body Text (Normal)"/>
    <w:qFormat/>
    <w:rsid w:val="00EA4D6A"/>
    <w:pPr>
      <w:spacing w:before="120" w:after="0" w:line="240" w:lineRule="atLeast"/>
    </w:pPr>
    <w:rPr>
      <w:rFonts w:ascii="Calibri" w:hAnsi="Calibri" w:cs="Times New Roman"/>
      <w:sz w:val="20"/>
      <w:szCs w:val="20"/>
      <w:lang w:val="en-US"/>
    </w:rPr>
  </w:style>
  <w:style w:type="paragraph" w:styleId="Heading1">
    <w:name w:val="heading 1"/>
    <w:basedOn w:val="Normal"/>
    <w:next w:val="Normal"/>
    <w:link w:val="Heading1Char"/>
    <w:uiPriority w:val="9"/>
    <w:qFormat/>
    <w:rsid w:val="00595036"/>
    <w:pPr>
      <w:keepNext/>
      <w:keepLines/>
      <w:spacing w:before="240"/>
      <w:outlineLvl w:val="0"/>
    </w:pPr>
    <w:rPr>
      <w:rFonts w:asciiTheme="majorHAnsi" w:eastAsiaTheme="majorEastAsia" w:hAnsiTheme="majorHAnsi" w:cstheme="majorBidi"/>
      <w:color w:val="2E74B5" w:themeColor="accent1" w:themeShade="BF"/>
      <w:sz w:val="52"/>
      <w:szCs w:val="32"/>
    </w:rPr>
  </w:style>
  <w:style w:type="paragraph" w:styleId="Heading2">
    <w:name w:val="heading 2"/>
    <w:basedOn w:val="Normal"/>
    <w:next w:val="Normal"/>
    <w:link w:val="Heading2Char"/>
    <w:uiPriority w:val="9"/>
    <w:unhideWhenUsed/>
    <w:qFormat/>
    <w:rsid w:val="00595036"/>
    <w:pPr>
      <w:keepNext/>
      <w:keepLines/>
      <w:spacing w:before="360" w:after="360"/>
      <w:ind w:left="-284"/>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0E84"/>
    <w:pPr>
      <w:keepNext/>
      <w:keepLines/>
      <w:spacing w:before="240" w:after="2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784E"/>
    <w:pPr>
      <w:spacing w:after="0" w:line="240" w:lineRule="auto"/>
    </w:pPr>
    <w:rPr>
      <w:rFonts w:ascii="Calibri" w:eastAsiaTheme="minorEastAsia" w:hAnsi="Calibri"/>
      <w:color w:val="595959"/>
      <w:sz w:val="20"/>
      <w:szCs w:val="20"/>
      <w:lang w:val="en-US"/>
    </w:rPr>
  </w:style>
  <w:style w:type="character" w:customStyle="1" w:styleId="NoSpacingChar">
    <w:name w:val="No Spacing Char"/>
    <w:basedOn w:val="DefaultParagraphFont"/>
    <w:link w:val="NoSpacing"/>
    <w:uiPriority w:val="1"/>
    <w:rsid w:val="00D3784E"/>
    <w:rPr>
      <w:rFonts w:ascii="Calibri" w:eastAsiaTheme="minorEastAsia" w:hAnsi="Calibri"/>
      <w:color w:val="595959"/>
      <w:sz w:val="20"/>
      <w:szCs w:val="20"/>
      <w:lang w:val="en-US"/>
    </w:rPr>
  </w:style>
  <w:style w:type="paragraph" w:styleId="ListParagraph">
    <w:name w:val="List Paragraph"/>
    <w:aliases w:val="Normal bullet 2,Bullet list,Lettre d'introduction,Paragrafo elenco,1st level - Bullet List Paragraph,Bullet List Paragraph,Numbered List,List Paragraph11,Normal bullet 21,List Paragraph111,Bullet list1"/>
    <w:basedOn w:val="Normal"/>
    <w:link w:val="ListParagraphChar"/>
    <w:uiPriority w:val="34"/>
    <w:qFormat/>
    <w:rsid w:val="00D80E84"/>
    <w:pPr>
      <w:spacing w:before="0" w:after="120" w:line="240" w:lineRule="auto"/>
      <w:ind w:left="708"/>
    </w:pPr>
    <w:rPr>
      <w:rFonts w:asciiTheme="minorHAnsi" w:eastAsia="MS Mincho" w:hAnsiTheme="minorHAnsi"/>
      <w:szCs w:val="24"/>
      <w:lang w:eastAsia="ja-JP"/>
    </w:rPr>
  </w:style>
  <w:style w:type="character" w:customStyle="1" w:styleId="ListParagraphChar">
    <w:name w:val="List Paragraph Char"/>
    <w:aliases w:val="Normal bullet 2 Char,Bullet list Char,Lettre d'introduction Char,Paragrafo elenco Char,1st level - Bullet List Paragraph Char,Bullet List Paragraph Char,Numbered List Char,List Paragraph11 Char,Normal bullet 21 Char,Bullet list1 Char"/>
    <w:link w:val="ListParagraph"/>
    <w:uiPriority w:val="34"/>
    <w:locked/>
    <w:rsid w:val="00D80E84"/>
    <w:rPr>
      <w:rFonts w:eastAsia="MS Mincho" w:cs="Times New Roman"/>
      <w:sz w:val="20"/>
      <w:szCs w:val="24"/>
      <w:lang w:val="en-US" w:eastAsia="ja-JP"/>
    </w:rPr>
  </w:style>
  <w:style w:type="paragraph" w:styleId="CommentText">
    <w:name w:val="annotation text"/>
    <w:basedOn w:val="Normal"/>
    <w:link w:val="CommentTextChar"/>
    <w:uiPriority w:val="99"/>
    <w:unhideWhenUsed/>
    <w:rsid w:val="00D3784E"/>
    <w:pPr>
      <w:spacing w:line="240" w:lineRule="auto"/>
    </w:pPr>
  </w:style>
  <w:style w:type="character" w:customStyle="1" w:styleId="CommentTextChar">
    <w:name w:val="Comment Text Char"/>
    <w:basedOn w:val="DefaultParagraphFont"/>
    <w:link w:val="CommentText"/>
    <w:uiPriority w:val="99"/>
    <w:rsid w:val="00D3784E"/>
    <w:rPr>
      <w:rFonts w:ascii="Calibri" w:hAnsi="Calibri" w:cs="Times New Roman"/>
      <w:color w:val="595959"/>
      <w:sz w:val="20"/>
      <w:szCs w:val="20"/>
      <w:lang w:val="en-US"/>
    </w:rPr>
  </w:style>
  <w:style w:type="character" w:customStyle="1" w:styleId="Heading1Char">
    <w:name w:val="Heading 1 Char"/>
    <w:basedOn w:val="DefaultParagraphFont"/>
    <w:link w:val="Heading1"/>
    <w:uiPriority w:val="9"/>
    <w:rsid w:val="00595036"/>
    <w:rPr>
      <w:rFonts w:asciiTheme="majorHAnsi" w:eastAsiaTheme="majorEastAsia" w:hAnsiTheme="majorHAnsi" w:cstheme="majorBidi"/>
      <w:color w:val="2E74B5" w:themeColor="accent1" w:themeShade="BF"/>
      <w:sz w:val="52"/>
      <w:szCs w:val="32"/>
      <w:lang w:val="en-US"/>
    </w:rPr>
  </w:style>
  <w:style w:type="character" w:customStyle="1" w:styleId="Heading2Char">
    <w:name w:val="Heading 2 Char"/>
    <w:basedOn w:val="DefaultParagraphFont"/>
    <w:link w:val="Heading2"/>
    <w:uiPriority w:val="9"/>
    <w:rsid w:val="00595036"/>
    <w:rPr>
      <w:rFonts w:asciiTheme="majorHAnsi" w:eastAsiaTheme="majorEastAsia" w:hAnsiTheme="majorHAnsi" w:cstheme="majorBidi"/>
      <w:color w:val="2E74B5" w:themeColor="accent1" w:themeShade="BF"/>
      <w:sz w:val="26"/>
      <w:szCs w:val="26"/>
      <w:lang w:val="en-US"/>
    </w:rPr>
  </w:style>
  <w:style w:type="table" w:styleId="TableGrid">
    <w:name w:val="Table Grid"/>
    <w:basedOn w:val="TableNormal"/>
    <w:uiPriority w:val="99"/>
    <w:rsid w:val="00D37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80E84"/>
    <w:rPr>
      <w:rFonts w:asciiTheme="majorHAnsi" w:eastAsiaTheme="majorEastAsia" w:hAnsiTheme="majorHAnsi" w:cstheme="majorBidi"/>
      <w:color w:val="1F4D78" w:themeColor="accent1" w:themeShade="7F"/>
      <w:sz w:val="24"/>
      <w:szCs w:val="24"/>
      <w:lang w:val="en-US"/>
    </w:rPr>
  </w:style>
  <w:style w:type="character" w:styleId="CommentReference">
    <w:name w:val="annotation reference"/>
    <w:basedOn w:val="DefaultParagraphFont"/>
    <w:uiPriority w:val="99"/>
    <w:semiHidden/>
    <w:unhideWhenUsed/>
    <w:rsid w:val="008D4DF6"/>
    <w:rPr>
      <w:sz w:val="16"/>
      <w:szCs w:val="16"/>
    </w:rPr>
  </w:style>
  <w:style w:type="paragraph" w:styleId="CommentSubject">
    <w:name w:val="annotation subject"/>
    <w:basedOn w:val="CommentText"/>
    <w:next w:val="CommentText"/>
    <w:link w:val="CommentSubjectChar"/>
    <w:uiPriority w:val="99"/>
    <w:semiHidden/>
    <w:unhideWhenUsed/>
    <w:rsid w:val="008D4DF6"/>
    <w:rPr>
      <w:b/>
      <w:bCs/>
    </w:rPr>
  </w:style>
  <w:style w:type="character" w:customStyle="1" w:styleId="CommentSubjectChar">
    <w:name w:val="Comment Subject Char"/>
    <w:basedOn w:val="CommentTextChar"/>
    <w:link w:val="CommentSubject"/>
    <w:uiPriority w:val="99"/>
    <w:semiHidden/>
    <w:rsid w:val="008D4DF6"/>
    <w:rPr>
      <w:rFonts w:ascii="Calibri" w:hAnsi="Calibri" w:cs="Times New Roman"/>
      <w:b/>
      <w:bCs/>
      <w:color w:val="595959"/>
      <w:sz w:val="20"/>
      <w:szCs w:val="20"/>
      <w:lang w:val="en-US"/>
    </w:rPr>
  </w:style>
  <w:style w:type="paragraph" w:styleId="BalloonText">
    <w:name w:val="Balloon Text"/>
    <w:basedOn w:val="Normal"/>
    <w:link w:val="BalloonTextChar"/>
    <w:uiPriority w:val="99"/>
    <w:semiHidden/>
    <w:unhideWhenUsed/>
    <w:rsid w:val="008D4DF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DF6"/>
    <w:rPr>
      <w:rFonts w:ascii="Tahoma" w:hAnsi="Tahoma" w:cs="Tahoma"/>
      <w:sz w:val="16"/>
      <w:szCs w:val="16"/>
      <w:lang w:val="en-US"/>
    </w:rPr>
  </w:style>
  <w:style w:type="paragraph" w:styleId="Header">
    <w:name w:val="header"/>
    <w:basedOn w:val="Normal"/>
    <w:link w:val="HeaderChar"/>
    <w:uiPriority w:val="99"/>
    <w:unhideWhenUsed/>
    <w:rsid w:val="00C436BA"/>
    <w:pPr>
      <w:tabs>
        <w:tab w:val="center" w:pos="4536"/>
        <w:tab w:val="right" w:pos="9072"/>
      </w:tabs>
      <w:spacing w:before="0" w:line="240" w:lineRule="auto"/>
    </w:pPr>
  </w:style>
  <w:style w:type="character" w:customStyle="1" w:styleId="HeaderChar">
    <w:name w:val="Header Char"/>
    <w:basedOn w:val="DefaultParagraphFont"/>
    <w:link w:val="Header"/>
    <w:uiPriority w:val="99"/>
    <w:rsid w:val="00C436BA"/>
    <w:rPr>
      <w:rFonts w:ascii="Calibri" w:hAnsi="Calibri" w:cs="Times New Roman"/>
      <w:sz w:val="20"/>
      <w:szCs w:val="20"/>
      <w:lang w:val="en-US"/>
    </w:rPr>
  </w:style>
  <w:style w:type="paragraph" w:styleId="Footer">
    <w:name w:val="footer"/>
    <w:basedOn w:val="Normal"/>
    <w:link w:val="FooterChar"/>
    <w:uiPriority w:val="99"/>
    <w:unhideWhenUsed/>
    <w:rsid w:val="00C436BA"/>
    <w:pPr>
      <w:tabs>
        <w:tab w:val="center" w:pos="4536"/>
        <w:tab w:val="right" w:pos="9072"/>
      </w:tabs>
      <w:spacing w:before="0" w:line="240" w:lineRule="auto"/>
    </w:pPr>
  </w:style>
  <w:style w:type="character" w:customStyle="1" w:styleId="FooterChar">
    <w:name w:val="Footer Char"/>
    <w:basedOn w:val="DefaultParagraphFont"/>
    <w:link w:val="Footer"/>
    <w:uiPriority w:val="99"/>
    <w:rsid w:val="00C436BA"/>
    <w:rPr>
      <w:rFonts w:ascii="Calibri" w:hAnsi="Calibri" w:cs="Times New Roman"/>
      <w:sz w:val="20"/>
      <w:szCs w:val="20"/>
      <w:lang w:val="en-US"/>
    </w:rPr>
  </w:style>
  <w:style w:type="character" w:styleId="Hyperlink">
    <w:name w:val="Hyperlink"/>
    <w:basedOn w:val="DefaultParagraphFont"/>
    <w:uiPriority w:val="99"/>
    <w:unhideWhenUsed/>
    <w:rsid w:val="00204C32"/>
    <w:rPr>
      <w:color w:val="0563C1" w:themeColor="hyperlink"/>
      <w:u w:val="single"/>
    </w:rPr>
  </w:style>
  <w:style w:type="character" w:styleId="UnresolvedMention">
    <w:name w:val="Unresolved Mention"/>
    <w:basedOn w:val="DefaultParagraphFont"/>
    <w:uiPriority w:val="99"/>
    <w:semiHidden/>
    <w:unhideWhenUsed/>
    <w:rsid w:val="00155F6D"/>
    <w:rPr>
      <w:color w:val="808080"/>
      <w:shd w:val="clear" w:color="auto" w:fill="E6E6E6"/>
    </w:rPr>
  </w:style>
  <w:style w:type="paragraph" w:customStyle="1" w:styleId="Default">
    <w:name w:val="Default"/>
    <w:rsid w:val="003C4D17"/>
    <w:pPr>
      <w:autoSpaceDE w:val="0"/>
      <w:autoSpaceDN w:val="0"/>
      <w:adjustRightInd w:val="0"/>
      <w:spacing w:after="0" w:line="240" w:lineRule="auto"/>
    </w:pPr>
    <w:rPr>
      <w:rFonts w:ascii="Calibri" w:hAnsi="Calibri" w:cs="Calibri"/>
      <w:color w:val="000000"/>
      <w:sz w:val="24"/>
      <w:szCs w:val="24"/>
    </w:rPr>
  </w:style>
  <w:style w:type="table" w:customStyle="1" w:styleId="Tabelraster2">
    <w:name w:val="Tabelraster2"/>
    <w:basedOn w:val="TableNormal"/>
    <w:next w:val="TableGrid"/>
    <w:uiPriority w:val="99"/>
    <w:rsid w:val="003C4D1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41447">
      <w:bodyDiv w:val="1"/>
      <w:marLeft w:val="0"/>
      <w:marRight w:val="0"/>
      <w:marTop w:val="0"/>
      <w:marBottom w:val="0"/>
      <w:divBdr>
        <w:top w:val="none" w:sz="0" w:space="0" w:color="auto"/>
        <w:left w:val="none" w:sz="0" w:space="0" w:color="auto"/>
        <w:bottom w:val="none" w:sz="0" w:space="0" w:color="auto"/>
        <w:right w:val="none" w:sz="0" w:space="0" w:color="auto"/>
      </w:divBdr>
    </w:div>
    <w:div w:id="62399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oomtestcentrum.nl" TargetMode="External"/><Relationship Id="rId18" Type="http://schemas.openxmlformats.org/officeDocument/2006/relationships/hyperlink" Target="https://www.edustandaard.nl/standaard_afspraken/certificeringsschema-informatiebeveiliging-en-privacy-rosa/certificeringsschema-informatiebeveiliging-en-privacy-rosa-2017/"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boomtestcentrum.nl" TargetMode="External"/><Relationship Id="rId2" Type="http://schemas.openxmlformats.org/officeDocument/2006/relationships/customXml" Target="../customXml/item2.xml"/><Relationship Id="rId16" Type="http://schemas.openxmlformats.org/officeDocument/2006/relationships/hyperlink" Target="http://www.bua.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webSettings" Target="webSettings.xml"/><Relationship Id="rId19" Type="http://schemas.openxmlformats.org/officeDocument/2006/relationships/hyperlink" Target="http://www.privacyconvenant.n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dejong\AppData\Local\Microsoft\Windows\INetCache\Content.Outlook\SS7JXI35\www.boomtestcentrum.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lientnaam xmlns="4633c2bc-e5ed-4624-9c16-523eeb8bde8c">Groep Educatieve Uitgeverijen</Clientnaam>
    <Clientcode xmlns="4633c2bc-e5ed-4624-9c16-523eeb8bde8c">512263</Clientcode>
    <Dossiernaam xmlns="4633c2bc-e5ed-4624-9c16-523eeb8bde8c">GEU/privacy vw. educatieve uitgeverijen</Dossiernaam>
    <Dossiercode xmlns="4633c2bc-e5ed-4624-9c16-523eeb8bde8c">50350</Dossiercode>
    <Dossiertype xmlns="48ce6a01-507b-4eb9-937d-d4085be009b5">Advocatuur</Dossiertype>
    <Typist xmlns="4633c2bc-e5ed-4624-9c16-523eeb8bde8c">
      <UserInfo>
        <DisplayName>Hester de Vries</DisplayName>
        <AccountId>18</AccountId>
        <AccountType/>
      </UserInfo>
    </Typist>
    <Auteurdocument xmlns="4633c2bc-e5ed-4624-9c16-523eeb8bde8c">
      <UserInfo>
        <DisplayName>Hester de Vries</DisplayName>
        <AccountId>18</AccountId>
        <AccountType/>
      </UserInfo>
    </Auteurdocument>
    <TaxCatchAll xmlns="1201ed4c-cd29-4439-9e35-b578578ac8e6">
      <Value>1</Value>
    </TaxCatchAll>
    <mvTo xmlns="1201ed4c-cd29-4439-9e35-b578578ac8e6" xsi:nil="true"/>
    <mvConversationTopic xmlns="1201ed4c-cd29-4439-9e35-b578578ac8e6" xsi:nil="true"/>
    <Advies xmlns="4633c2bc-e5ed-4624-9c16-523eeb8bde8c" xsi:nil="true"/>
    <internextern xmlns="4633c2bc-e5ed-4624-9c16-523eeb8bde8c" xsi:nil="true"/>
    <JuridischOnderwerpTaxHTField0 xmlns="a600fe8e-4464-4fe9-9a72-d4766e6653f8">
      <Terms xmlns="http://schemas.microsoft.com/office/infopath/2007/PartnerControls"/>
    </JuridischOnderwerpTaxHTField0>
    <_dlc_DocId xmlns="1201ed4c-cd29-4439-9e35-b578578ac8e6">1510605</_dlc_DocId>
    <_dlc_DocIdUrl xmlns="1201ed4c-cd29-4439-9e35-b578578ac8e6">
      <Url>https://parc.kvdl.nl/clienten/512263/50350/_layouts/DocIdRedir.aspx?ID=1510605</Url>
      <Description>1510605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Memo" ma:contentTypeID="0x01010003F01F9B5410A14A8FA6ECA4F1FD5587010A030011A3BF5B5525C54E9A754E01A906D16A" ma:contentTypeVersion="3" ma:contentTypeDescription="Een nieuw document maken." ma:contentTypeScope="" ma:versionID="6f8b9fc20abab635cc16df16173acb0c">
  <xsd:schema xmlns:xsd="http://www.w3.org/2001/XMLSchema" xmlns:xs="http://www.w3.org/2001/XMLSchema" xmlns:p="http://schemas.microsoft.com/office/2006/metadata/properties" xmlns:ns2="1201ed4c-cd29-4439-9e35-b578578ac8e6" xmlns:ns3="4633c2bc-e5ed-4624-9c16-523eeb8bde8c" xmlns:ns4="48ce6a01-507b-4eb9-937d-d4085be009b5" xmlns:ns5="a600fe8e-4464-4fe9-9a72-d4766e6653f8" targetNamespace="http://schemas.microsoft.com/office/2006/metadata/properties" ma:root="true" ma:fieldsID="da91c6e7be1d49badf5f563c4eab61c5" ns2:_="" ns3:_="" ns4:_="" ns5:_="">
    <xsd:import namespace="1201ed4c-cd29-4439-9e35-b578578ac8e6"/>
    <xsd:import namespace="4633c2bc-e5ed-4624-9c16-523eeb8bde8c"/>
    <xsd:import namespace="48ce6a01-507b-4eb9-937d-d4085be009b5"/>
    <xsd:import namespace="a600fe8e-4464-4fe9-9a72-d4766e6653f8"/>
    <xsd:element name="properties">
      <xsd:complexType>
        <xsd:sequence>
          <xsd:element name="documentManagement">
            <xsd:complexType>
              <xsd:all>
                <xsd:element ref="ns2:_dlc_DocId" minOccurs="0"/>
                <xsd:element ref="ns2:_dlc_DocIdUrl" minOccurs="0"/>
                <xsd:element ref="ns2:_dlc_DocIdPersistId" minOccurs="0"/>
                <xsd:element ref="ns3:Clientnaam"/>
                <xsd:element ref="ns3:Clientcode"/>
                <xsd:element ref="ns3:Dossiernaam"/>
                <xsd:element ref="ns3:Dossiercode"/>
                <xsd:element ref="ns4:Dossiertype" minOccurs="0"/>
                <xsd:element ref="ns3:Typist"/>
                <xsd:element ref="ns3:Auteurdocument"/>
                <xsd:element ref="ns5:JuridischOnderwerpTaxHTField0" minOccurs="0"/>
                <xsd:element ref="ns2:TaxCatchAll" minOccurs="0"/>
                <xsd:element ref="ns2:TaxCatchAllLabel" minOccurs="0"/>
                <xsd:element ref="ns2:mvTo" minOccurs="0"/>
                <xsd:element ref="ns2:mvConversationTopic" minOccurs="0"/>
                <xsd:element ref="ns3:Advies" minOccurs="0"/>
                <xsd:element ref="ns3:internexter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1ed4c-cd29-4439-9e35-b578578ac8e6"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0" nillable="true" ma:displayName="Taxonomy Catch All Column" ma:description="" ma:hidden="true" ma:list="{5517c4e2-aa5f-472f-acbb-031866622f52}" ma:internalName="TaxCatchAll" ma:showField="CatchAllData" ma:web="2f4aca6f-408a-4038-a203-78a7ae2af60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description="" ma:hidden="true" ma:list="{5517c4e2-aa5f-472f-acbb-031866622f52}" ma:internalName="TaxCatchAllLabel" ma:readOnly="true" ma:showField="CatchAllDataLabel" ma:web="2f4aca6f-408a-4038-a203-78a7ae2af604">
      <xsd:complexType>
        <xsd:complexContent>
          <xsd:extension base="dms:MultiChoiceLookup">
            <xsd:sequence>
              <xsd:element name="Value" type="dms:Lookup" maxOccurs="unbounded" minOccurs="0" nillable="true"/>
            </xsd:sequence>
          </xsd:extension>
        </xsd:complexContent>
      </xsd:complexType>
    </xsd:element>
    <xsd:element name="mvTo" ma:index="22" nillable="true" ma:displayName="Geadresseerde" ma:internalName="mvTo">
      <xsd:simpleType>
        <xsd:restriction base="dms:Text">
          <xsd:maxLength value="255"/>
        </xsd:restriction>
      </xsd:simpleType>
    </xsd:element>
    <xsd:element name="mvConversationTopic" ma:index="23" nillable="true" ma:displayName="Onderwerp" ma:internalName="mvConversation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33c2bc-e5ed-4624-9c16-523eeb8bde8c" elementFormDefault="qualified">
    <xsd:import namespace="http://schemas.microsoft.com/office/2006/documentManagement/types"/>
    <xsd:import namespace="http://schemas.microsoft.com/office/infopath/2007/PartnerControls"/>
    <xsd:element name="Clientnaam" ma:index="11" ma:displayName="Cliëntnaam" ma:default="Groep Educatieve Uitgeverijen" ma:internalName="Clientnaam">
      <xsd:simpleType>
        <xsd:restriction base="dms:Text">
          <xsd:maxLength value="255"/>
        </xsd:restriction>
      </xsd:simpleType>
    </xsd:element>
    <xsd:element name="Clientcode" ma:index="12" ma:displayName="Cliëntcode" ma:default="512263" ma:internalName="Clientcode">
      <xsd:simpleType>
        <xsd:restriction base="dms:Text">
          <xsd:maxLength value="255"/>
        </xsd:restriction>
      </xsd:simpleType>
    </xsd:element>
    <xsd:element name="Dossiernaam" ma:index="13" ma:displayName="Dossiernaam" ma:default="GEU/privacy vw. educatieve uitgeverijen" ma:internalName="Dossiernaam">
      <xsd:simpleType>
        <xsd:restriction base="dms:Text">
          <xsd:maxLength value="255"/>
        </xsd:restriction>
      </xsd:simpleType>
    </xsd:element>
    <xsd:element name="Dossiercode" ma:index="14" ma:displayName="Dossiercode" ma:default="50350" ma:internalName="Dossiercode">
      <xsd:simpleType>
        <xsd:restriction base="dms:Text">
          <xsd:maxLength value="255"/>
        </xsd:restriction>
      </xsd:simpleType>
    </xsd:element>
    <xsd:element name="Typist" ma:index="16" ma:displayName="Typist" ma:list="UserInfo" ma:SharePointGroup="0" ma:internalName="Typis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eurdocument" ma:index="17" ma:displayName="Auteur document" ma:list="UserInfo" ma:SharePointGroup="0" ma:internalName="Auteurdocument"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dvies" ma:index="24" nillable="true" ma:displayName="Advies" ma:format="Dropdown" ma:internalName="Advies">
      <xsd:simpleType>
        <xsd:restriction base="dms:Choice">
          <xsd:enumeration value="Ja"/>
          <xsd:enumeration value="Nee"/>
        </xsd:restriction>
      </xsd:simpleType>
    </xsd:element>
    <xsd:element name="internextern" ma:index="25" nillable="true" ma:displayName="Intern/Extern" ma:format="Dropdown" ma:internalName="internextern">
      <xsd:simpleType>
        <xsd:restriction base="dms:Choice">
          <xsd:enumeration value="Intern"/>
          <xsd:enumeration value="Extern"/>
        </xsd:restriction>
      </xsd:simpleType>
    </xsd:element>
  </xsd:schema>
  <xsd:schema xmlns:xsd="http://www.w3.org/2001/XMLSchema" xmlns:xs="http://www.w3.org/2001/XMLSchema" xmlns:dms="http://schemas.microsoft.com/office/2006/documentManagement/types" xmlns:pc="http://schemas.microsoft.com/office/infopath/2007/PartnerControls" targetNamespace="48ce6a01-507b-4eb9-937d-d4085be009b5" elementFormDefault="qualified">
    <xsd:import namespace="http://schemas.microsoft.com/office/2006/documentManagement/types"/>
    <xsd:import namespace="http://schemas.microsoft.com/office/infopath/2007/PartnerControls"/>
    <xsd:element name="Dossiertype" ma:index="15" nillable="true" ma:displayName="Dossiertype" ma:default="Advocatuur" ma:format="RadioButtons" ma:hidden="true" ma:internalName="Dossiertype">
      <xsd:simpleType>
        <xsd:restriction base="dms:Choice">
          <xsd:enumeration value="Advocatuur"/>
          <xsd:enumeration value="Notariaat (afgeschermd)"/>
          <xsd:enumeration value="Notariaat (niet afgeschermd)"/>
          <xsd:enumeration value="Intern"/>
        </xsd:restriction>
      </xsd:simpleType>
    </xsd:element>
  </xsd:schema>
  <xsd:schema xmlns:xsd="http://www.w3.org/2001/XMLSchema" xmlns:xs="http://www.w3.org/2001/XMLSchema" xmlns:dms="http://schemas.microsoft.com/office/2006/documentManagement/types" xmlns:pc="http://schemas.microsoft.com/office/infopath/2007/PartnerControls" targetNamespace="a600fe8e-4464-4fe9-9a72-d4766e6653f8" elementFormDefault="qualified">
    <xsd:import namespace="http://schemas.microsoft.com/office/2006/documentManagement/types"/>
    <xsd:import namespace="http://schemas.microsoft.com/office/infopath/2007/PartnerControls"/>
    <xsd:element name="JuridischOnderwerpTaxHTField0" ma:index="18" nillable="true" ma:taxonomy="true" ma:internalName="Juridisch_x0020_onderwerpTaxHTField0" ma:taxonomyFieldName="JuridischOnderwerp" ma:displayName="Juridisch onderwerp" ma:default="" ma:fieldId="{0465b0fc-3d95-4a57-bd1f-d1c61f18bf59}" ma:sspId="bc477c1e-77f7-4f14-8b48-a3e147efa452" ma:termSetId="f717ae83-66f1-4f30-ad77-b6741a6ea88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bc477c1e-77f7-4f14-8b48-a3e147efa452" ContentTypeId="0x01010003F01F9B5410A14A8FA6ECA4F1FD5587010A03"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DD170-8410-42A3-A752-9BFCEDBBAB20}">
  <ds:schemaRefs>
    <ds:schemaRef ds:uri="http://schemas.microsoft.com/office/2006/metadata/properties"/>
    <ds:schemaRef ds:uri="http://schemas.microsoft.com/office/infopath/2007/PartnerControls"/>
    <ds:schemaRef ds:uri="4633c2bc-e5ed-4624-9c16-523eeb8bde8c"/>
    <ds:schemaRef ds:uri="48ce6a01-507b-4eb9-937d-d4085be009b5"/>
    <ds:schemaRef ds:uri="1201ed4c-cd29-4439-9e35-b578578ac8e6"/>
    <ds:schemaRef ds:uri="a600fe8e-4464-4fe9-9a72-d4766e6653f8"/>
  </ds:schemaRefs>
</ds:datastoreItem>
</file>

<file path=customXml/itemProps2.xml><?xml version="1.0" encoding="utf-8"?>
<ds:datastoreItem xmlns:ds="http://schemas.openxmlformats.org/officeDocument/2006/customXml" ds:itemID="{98B808B1-FBA8-4135-B2B6-E5066120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01ed4c-cd29-4439-9e35-b578578ac8e6"/>
    <ds:schemaRef ds:uri="4633c2bc-e5ed-4624-9c16-523eeb8bde8c"/>
    <ds:schemaRef ds:uri="48ce6a01-507b-4eb9-937d-d4085be009b5"/>
    <ds:schemaRef ds:uri="a600fe8e-4464-4fe9-9a72-d4766e6653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203220-AD66-4087-8493-247BEBCE6CA1}">
  <ds:schemaRefs>
    <ds:schemaRef ds:uri="http://schemas.microsoft.com/sharepoint/events"/>
  </ds:schemaRefs>
</ds:datastoreItem>
</file>

<file path=customXml/itemProps4.xml><?xml version="1.0" encoding="utf-8"?>
<ds:datastoreItem xmlns:ds="http://schemas.openxmlformats.org/officeDocument/2006/customXml" ds:itemID="{FE16A182-5C08-4A2D-A2AE-56664FA15DC8}">
  <ds:schemaRefs>
    <ds:schemaRef ds:uri="http://schemas.openxmlformats.org/officeDocument/2006/bibliography"/>
  </ds:schemaRefs>
</ds:datastoreItem>
</file>

<file path=customXml/itemProps5.xml><?xml version="1.0" encoding="utf-8"?>
<ds:datastoreItem xmlns:ds="http://schemas.openxmlformats.org/officeDocument/2006/customXml" ds:itemID="{1D021CE4-5A64-42E1-82B4-0A1FBF04D7EA}">
  <ds:schemaRefs>
    <ds:schemaRef ds:uri="Microsoft.SharePoint.Taxonomy.ContentTypeSync"/>
  </ds:schemaRefs>
</ds:datastoreItem>
</file>

<file path=customXml/itemProps6.xml><?xml version="1.0" encoding="utf-8"?>
<ds:datastoreItem xmlns:ds="http://schemas.openxmlformats.org/officeDocument/2006/customXml" ds:itemID="{265B9AC4-9460-4A0B-BA82-14280C7E8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6705</Words>
  <Characters>36881</Characters>
  <Application>Microsoft Office Word</Application>
  <DocSecurity>0</DocSecurity>
  <Lines>307</Lines>
  <Paragraphs>86</Paragraphs>
  <ScaleCrop>false</ScaleCrop>
  <HeadingPairs>
    <vt:vector size="2" baseType="variant">
      <vt:variant>
        <vt:lpstr>Titel</vt:lpstr>
      </vt:variant>
      <vt:variant>
        <vt:i4>1</vt:i4>
      </vt:variant>
    </vt:vector>
  </HeadingPairs>
  <TitlesOfParts>
    <vt:vector size="1" baseType="lpstr">
      <vt:lpstr>GEU - Privacy Bijsluiter Dummycomhvr.docx</vt:lpstr>
    </vt:vector>
  </TitlesOfParts>
  <Company>Malmberg Uitgeverij B.V.</Company>
  <LinksUpToDate>false</LinksUpToDate>
  <CharactersWithSpaces>43500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GEU - Privacy Bijsluiter Dummycomhvr.docx</dc:title>
  <dc:creator>Hans Osinga</dc:creator>
  <cp:lastModifiedBy>Abdoelkhan, Amvedkar</cp:lastModifiedBy>
  <cp:revision>2</cp:revision>
  <cp:lastPrinted>2018-05-28T11:39:00Z</cp:lastPrinted>
  <dcterms:created xsi:type="dcterms:W3CDTF">2021-11-01T15:52:00Z</dcterms:created>
  <dcterms:modified xsi:type="dcterms:W3CDTF">2021-11-01T15:52:00Z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naam">
    <vt:lpwstr>Groep Educatieve Uitgeverijen</vt:lpwstr>
  </property>
  <property fmtid="{D5CDD505-2E9C-101B-9397-08002B2CF9AE}" pid="3" name="Clientcode">
    <vt:lpwstr>512263</vt:lpwstr>
  </property>
  <property fmtid="{D5CDD505-2E9C-101B-9397-08002B2CF9AE}" pid="4" name="Dossiernaam">
    <vt:lpwstr>GEU/privacy vw. educatieve uitgeverijen</vt:lpwstr>
  </property>
  <property fmtid="{D5CDD505-2E9C-101B-9397-08002B2CF9AE}" pid="5" name="Dossiercode">
    <vt:lpwstr>50350</vt:lpwstr>
  </property>
  <property fmtid="{D5CDD505-2E9C-101B-9397-08002B2CF9AE}" pid="6" name="Dossiertype">
    <vt:lpwstr>Advocatuur</vt:lpwstr>
  </property>
  <property fmtid="{D5CDD505-2E9C-101B-9397-08002B2CF9AE}" pid="7" name="Typist">
    <vt:lpwstr>18</vt:lpwstr>
  </property>
  <property fmtid="{D5CDD505-2E9C-101B-9397-08002B2CF9AE}" pid="8" name="Auteurdocument">
    <vt:lpwstr>18</vt:lpwstr>
  </property>
  <property fmtid="{D5CDD505-2E9C-101B-9397-08002B2CF9AE}" pid="9" name="Juridisch onderwerpTaxHTField0">
    <vt:lpwstr/>
  </property>
  <property fmtid="{D5CDD505-2E9C-101B-9397-08002B2CF9AE}" pid="10" name="JuridischOnderwerp">
    <vt:lpwstr/>
  </property>
  <property fmtid="{D5CDD505-2E9C-101B-9397-08002B2CF9AE}" pid="11" name="TaxCatchAll">
    <vt:lpwstr/>
  </property>
  <property fmtid="{D5CDD505-2E9C-101B-9397-08002B2CF9AE}" pid="12" name="mvTo">
    <vt:lpwstr/>
  </property>
  <property fmtid="{D5CDD505-2E9C-101B-9397-08002B2CF9AE}" pid="13" name="mvConversationTopic">
    <vt:lpwstr/>
  </property>
  <property fmtid="{D5CDD505-2E9C-101B-9397-08002B2CF9AE}" pid="14" name="Advies">
    <vt:lpwstr/>
  </property>
  <property fmtid="{D5CDD505-2E9C-101B-9397-08002B2CF9AE}" pid="15" name="internextern">
    <vt:lpwstr/>
  </property>
  <property fmtid="{D5CDD505-2E9C-101B-9397-08002B2CF9AE}" pid="16" name="ContentTypeId">
    <vt:lpwstr>0x01010003F01F9B5410A14A8FA6ECA4F1FD5587010A030011A3BF5B5525C54E9A754E01A906D16A</vt:lpwstr>
  </property>
  <property fmtid="{D5CDD505-2E9C-101B-9397-08002B2CF9AE}" pid="17" name="IsDmfSave">
    <vt:lpwstr>True</vt:lpwstr>
  </property>
  <property fmtid="{D5CDD505-2E9C-101B-9397-08002B2CF9AE}" pid="18" name="SectieTaxHTField0">
    <vt:lpwstr>Sectie Privacy|0b6eced9-c5b8-4288-8ac3-b73a7701ed3a</vt:lpwstr>
  </property>
  <property fmtid="{D5CDD505-2E9C-101B-9397-08002B2CF9AE}" pid="19" name="_dlc_DocIdItemGuid">
    <vt:lpwstr>2bc89a3d-c886-4d7c-bb38-01bdfa1794da</vt:lpwstr>
  </property>
</Properties>
</file>